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B7B99" w14:textId="77777777" w:rsidR="00D818B1" w:rsidRDefault="00D818B1">
      <w:pPr>
        <w:spacing w:before="2000"/>
      </w:pPr>
    </w:p>
    <w:p w14:paraId="599180FC" w14:textId="77777777" w:rsidR="00D818B1" w:rsidRDefault="00000000">
      <w:pPr>
        <w:spacing w:after="200"/>
        <w:jc w:val="center"/>
      </w:pPr>
      <w:r>
        <w:rPr>
          <w:b/>
          <w:bCs/>
          <w:sz w:val="64"/>
          <w:szCs w:val="64"/>
        </w:rPr>
        <w:t>Audyt Wizard</w:t>
      </w:r>
    </w:p>
    <w:p w14:paraId="3E0E2CAC" w14:textId="77777777" w:rsidR="00D818B1" w:rsidRDefault="00000000">
      <w:pPr>
        <w:spacing w:after="100"/>
        <w:jc w:val="center"/>
      </w:pPr>
      <w:r>
        <w:rPr>
          <w:sz w:val="36"/>
          <w:szCs w:val="36"/>
        </w:rPr>
        <w:t>Podręcznik użytkownika</w:t>
      </w:r>
    </w:p>
    <w:p w14:paraId="40D49641" w14:textId="4726C47E" w:rsidR="00D818B1" w:rsidRDefault="00000000">
      <w:pPr>
        <w:spacing w:after="800"/>
        <w:jc w:val="center"/>
      </w:pPr>
      <w:r>
        <w:rPr>
          <w:i/>
          <w:iCs/>
          <w:sz w:val="24"/>
          <w:szCs w:val="24"/>
        </w:rPr>
        <w:t xml:space="preserve">Aplikacja do audytów dostępności cyfrowej WCAG </w:t>
      </w:r>
      <w:r w:rsidR="000D65E6">
        <w:rPr>
          <w:i/>
          <w:iCs/>
          <w:sz w:val="24"/>
          <w:szCs w:val="24"/>
        </w:rPr>
        <w:t>2.1/</w:t>
      </w:r>
      <w:r>
        <w:rPr>
          <w:i/>
          <w:iCs/>
          <w:sz w:val="24"/>
          <w:szCs w:val="24"/>
        </w:rPr>
        <w:t>2.2</w:t>
      </w:r>
      <w:r w:rsidR="000D65E6">
        <w:rPr>
          <w:i/>
          <w:iCs/>
          <w:sz w:val="24"/>
          <w:szCs w:val="24"/>
        </w:rPr>
        <w:t>/EN301549</w:t>
      </w:r>
    </w:p>
    <w:p w14:paraId="7BC92E91" w14:textId="354CEE57" w:rsidR="00D818B1" w:rsidRDefault="00D818B1"/>
    <w:p w14:paraId="700C766C" w14:textId="77777777" w:rsidR="00D818B1" w:rsidRDefault="00000000">
      <w:pPr>
        <w:pStyle w:val="Nagwek1"/>
        <w:spacing w:after="200"/>
      </w:pPr>
      <w:r>
        <w:t>Spis treści</w:t>
      </w:r>
    </w:p>
    <w:sdt>
      <w:sdtPr>
        <w:alias w:val="Spis treści"/>
        <w:id w:val="-92171267"/>
      </w:sdtPr>
      <w:sdtContent>
        <w:p w14:paraId="2927EFEB" w14:textId="77777777" w:rsidR="00D818B1" w:rsidRDefault="00000000">
          <w:r>
            <w:fldChar w:fldCharType="begin"/>
          </w:r>
          <w:r>
            <w:instrText>TOC \h \o "1-3"</w:instrText>
          </w:r>
          <w:r>
            <w:fldChar w:fldCharType="separate"/>
          </w:r>
        </w:p>
        <w:p w14:paraId="7C2BC663" w14:textId="77777777" w:rsidR="00D818B1" w:rsidRDefault="00000000">
          <w:r>
            <w:fldChar w:fldCharType="end"/>
          </w:r>
        </w:p>
      </w:sdtContent>
    </w:sdt>
    <w:p w14:paraId="3666B0C3" w14:textId="77777777" w:rsidR="00D818B1" w:rsidRDefault="00000000">
      <w:pPr>
        <w:spacing w:before="200"/>
      </w:pPr>
      <w:r>
        <w:rPr>
          <w:i/>
          <w:iCs/>
          <w:sz w:val="18"/>
          <w:szCs w:val="18"/>
        </w:rPr>
        <w:t>(Spis treści aktualizuje się automatycznie po otwarciu dokumentu w Wordzie — kliknij prawym przyciskiem myszy i wybierz „Aktualizuj pole”, albo naciśnij F9.)</w:t>
      </w:r>
    </w:p>
    <w:p w14:paraId="1C97F8CA" w14:textId="77777777" w:rsidR="00D818B1" w:rsidRDefault="00000000">
      <w:r>
        <w:br w:type="page"/>
      </w:r>
    </w:p>
    <w:p w14:paraId="0D302FF5" w14:textId="77777777" w:rsidR="00D818B1" w:rsidRDefault="00000000">
      <w:pPr>
        <w:pStyle w:val="Nagwek1"/>
        <w:pageBreakBefore/>
        <w:spacing w:before="400" w:after="200"/>
      </w:pPr>
      <w:r>
        <w:lastRenderedPageBreak/>
        <w:t>1. Wprowadzenie</w:t>
      </w:r>
    </w:p>
    <w:p w14:paraId="0CAC83ED" w14:textId="77777777" w:rsidR="00D818B1" w:rsidRDefault="00000000">
      <w:pPr>
        <w:spacing w:after="160"/>
      </w:pPr>
      <w:r>
        <w:t>Audyt Wizard to desktopowa aplikacja do prowadzenia audytów dostępności cyfrowej stron internetowych i aplikacji webowych zgodnie z WCAG 2.2. Aplikacja prowadzi audytora przez cały proces: od zaplanowania zakresu badania, przez wykonanie testów manualnych i automatycznych skanów, zbieranie obserwacji i dowodów, aż po wygenerowanie końcowego raportu w formacie HTML lub Word.</w:t>
      </w:r>
    </w:p>
    <w:p w14:paraId="514DDE3C" w14:textId="77777777" w:rsidR="00D818B1" w:rsidRDefault="00000000">
      <w:pPr>
        <w:spacing w:after="160"/>
      </w:pPr>
      <w:r>
        <w:t>Aplikacja działa w pełni lokalnie na komputerze audytora — wszystkie dane audytu (strony, problemy, obserwacje, raporty) są przechowywane w jednym pliku bazy danych obok programu, nie w chmurze. Jedynym wyjątkiem jest opcjonalna funkcja podpowiedzi AI, która wysyła wybrane fragmenty treści (np. treść obserwacji) do zewnętrznego dostawcy modelu językowego (Anthropic albo OpenAI) — wyłącznie wtedy, gdy audytor sam skonfiguruje tę funkcję i naciśnie odpowiedni przycisk „(AI)”.</w:t>
      </w:r>
    </w:p>
    <w:p w14:paraId="3353740C" w14:textId="77777777" w:rsidR="00D818B1" w:rsidRDefault="00000000">
      <w:pPr>
        <w:spacing w:after="160"/>
      </w:pPr>
      <w:r>
        <w:t>Aplikacja została zaprojektowana z myślą o pełnej dostępności dla osób korzystających z czytnika ekranu (przetestowana z NVDA) — każde okno da się w całości obsłużyć klawiaturą, wszystkie pola mają etykiety, a każda istotna zmiana stanu jest ogłaszana czytnikowi ekranu.</w:t>
      </w:r>
    </w:p>
    <w:p w14:paraId="2397B871" w14:textId="77777777" w:rsidR="00D818B1" w:rsidRDefault="00000000">
      <w:pPr>
        <w:pStyle w:val="Nagwek2"/>
        <w:spacing w:before="320" w:after="140"/>
      </w:pPr>
      <w:r>
        <w:t>Dla kogo jest ten podręcznik</w:t>
      </w:r>
    </w:p>
    <w:p w14:paraId="0E8B96DA" w14:textId="77777777" w:rsidR="00D818B1" w:rsidRDefault="00000000">
      <w:pPr>
        <w:spacing w:after="160"/>
      </w:pPr>
      <w:r>
        <w:t>Podręcznik opisuje krok po kroku każdy ekran, każde okno, każde pole i każdy przycisk aplikacji — jest przeznaczony zarówno dla nowego użytkownika poznającego program, jak i jako materiał referencyjny do sprawdzenia szczegółowego działania konkretnej funkcji.</w:t>
      </w:r>
    </w:p>
    <w:p w14:paraId="1C26EDD5" w14:textId="77777777" w:rsidR="00D818B1" w:rsidRDefault="00000000">
      <w:pPr>
        <w:pStyle w:val="Nagwek2"/>
        <w:spacing w:before="320" w:after="140"/>
      </w:pPr>
      <w:r>
        <w:t>Wymagania</w:t>
      </w:r>
    </w:p>
    <w:p w14:paraId="1C7EC68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System Windows (aplikacja została zbudowana i przetestowana na Windows 11).</w:t>
      </w:r>
    </w:p>
    <w:p w14:paraId="469384E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Node.js (wersja LTS) — wymagany wyłącznie do automatycznego skanowania stron silnikiem Axe/Playwright. Reszta aplikacji działa bez niego normalnie.</w:t>
      </w:r>
    </w:p>
    <w:p w14:paraId="245DA96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Klucz API dostawcy AI (Anthropic albo OpenAI) — wymagany wyłącznie do korzystania z opcjonalnych podpowiedzi AI (selektor elementu, kryterium WCAG, rekomendacja naprawy, wykrywanie duplikatów problemów, podsumowanie raportu zarządczego). Reszta aplikacji działa bez niego normalnie.</w:t>
      </w:r>
    </w:p>
    <w:p w14:paraId="3838529F" w14:textId="77777777" w:rsidR="00D818B1" w:rsidRDefault="00000000">
      <w:pPr>
        <w:pStyle w:val="Nagwek1"/>
        <w:pageBreakBefore/>
        <w:spacing w:before="400" w:after="200"/>
      </w:pPr>
      <w:r>
        <w:lastRenderedPageBreak/>
        <w:t>2. Instalacja i pierwsze uruchomienie</w:t>
      </w:r>
    </w:p>
    <w:p w14:paraId="63C669D0" w14:textId="77777777" w:rsidR="00D818B1" w:rsidRDefault="00000000">
      <w:pPr>
        <w:pStyle w:val="Nagwek2"/>
        <w:spacing w:before="320" w:after="140"/>
      </w:pPr>
      <w:r>
        <w:t>2.1. Uruchomienie instalatora</w:t>
      </w:r>
    </w:p>
    <w:p w14:paraId="4DD6386A" w14:textId="77777777" w:rsidR="00D818B1" w:rsidRDefault="00000000">
      <w:pPr>
        <w:spacing w:after="160"/>
      </w:pPr>
      <w:r>
        <w:t>Uruchom plik instalatora (AudytWizard-Setup-&lt;wersja&gt;.exe). Instalacja jest wykonywana w kontekście bieżącego użytkownika Windows, bez wymogu uprawnień administratora i bez okna kontroli konta użytkownika (UAC) — domyślny folder instalacji to katalog danych aplikacji bieżącego użytkownika (odpowiednik %localappdata%\Programs\AudytWizard).</w:t>
      </w:r>
    </w:p>
    <w:p w14:paraId="2E3F0AE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Kreator instalacyjny pozwala wybrać język instalatora: polski (domyślny) albo angielski.</w:t>
      </w:r>
    </w:p>
    <w:p w14:paraId="43923C4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Kreator pyta o utworzenie ikony na pulpicie (opcja do zaznaczenia) — skrót w menu Start jest tworzony zawsze.</w:t>
      </w:r>
    </w:p>
    <w:p w14:paraId="5C201D87" w14:textId="77777777" w:rsidR="00D818B1" w:rsidRDefault="00000000">
      <w:pPr>
        <w:spacing w:after="160"/>
      </w:pPr>
      <w:r>
        <w:rPr>
          <w:i/>
          <w:iCs/>
        </w:rPr>
        <w:t>Uwaga: Cały kreator instalacyjny korzysta ze standardowych kontrolek systemowych Windows i jest w pełni dostępny dla czytnika ekranu — potwierdzone realnym testem z NVDA.</w:t>
      </w:r>
    </w:p>
    <w:p w14:paraId="5719AFCA" w14:textId="77777777" w:rsidR="00D818B1" w:rsidRDefault="00000000">
      <w:pPr>
        <w:pStyle w:val="Nagwek2"/>
        <w:spacing w:before="320" w:after="140"/>
      </w:pPr>
      <w:r>
        <w:t>2.2. Instalacja silnika Axe/Playwright (opcjonalna, automatyczna)</w:t>
      </w:r>
    </w:p>
    <w:p w14:paraId="0F79B9DE" w14:textId="77777777" w:rsidR="00D818B1" w:rsidRDefault="00000000">
      <w:pPr>
        <w:spacing w:after="160"/>
      </w:pPr>
      <w:r>
        <w:t>Po skopiowaniu plików aplikacji instalator sprawdza, czy na komputerze jest zainstalowany Node.js (sprawdzenie polecenia „node” w ścieżce systemowej PATH, pomocniczo także klucz rejestru Node.js).</w:t>
      </w:r>
    </w:p>
    <w:p w14:paraId="4BDC3930" w14:textId="77777777" w:rsidR="00D818B1" w:rsidRDefault="00000000">
      <w:pPr>
        <w:pStyle w:val="Nagwek3"/>
        <w:spacing w:before="220" w:after="100"/>
      </w:pPr>
      <w:r>
        <w:t>Jeśli Node.js zostanie znaleziony</w:t>
      </w:r>
    </w:p>
    <w:p w14:paraId="5A8AC179" w14:textId="77777777" w:rsidR="00D818B1" w:rsidRDefault="00000000">
      <w:pPr>
        <w:spacing w:after="160"/>
      </w:pPr>
      <w:r>
        <w:t>Instalator automatycznie uruchamia w widocznym oknie konsoli kolejno polecenia „npm install” (instalacja zależności silnika skanującego), a następnie „npx playwright install chromium” (pobranie przeglądarki Chromium używanej do skanowania). Widoczna konsola pozwala śledzić realny postęp obu operacji (mogą potrwać kilka minut, głównie przez pobranie Chromium) i jest natywnie dostępna dla czytnika ekranu.</w:t>
      </w:r>
    </w:p>
    <w:p w14:paraId="182D3366" w14:textId="77777777" w:rsidR="00D818B1" w:rsidRDefault="00000000">
      <w:pPr>
        <w:spacing w:after="160"/>
      </w:pPr>
      <w:r>
        <w:rPr>
          <w:i/>
          <w:iCs/>
        </w:rPr>
        <w:t>Uwaga: Jeśli którekolwiek z tych dwóch poleceń zakończy się błędem, instalator pokaże okno z dokładnym kodem błędu i informacją, w którym folderze (…\axe-engine) można wykonać to polecenie ręcznie.</w:t>
      </w:r>
    </w:p>
    <w:p w14:paraId="19198DE0" w14:textId="77777777" w:rsidR="00D818B1" w:rsidRDefault="00000000">
      <w:pPr>
        <w:pStyle w:val="Nagwek3"/>
        <w:spacing w:before="220" w:after="100"/>
      </w:pPr>
      <w:r>
        <w:t>Jeśli Node.js NIE zostanie znaleziony</w:t>
      </w:r>
    </w:p>
    <w:p w14:paraId="0464783C" w14:textId="77777777" w:rsidR="00D818B1" w:rsidRDefault="00000000">
      <w:pPr>
        <w:spacing w:after="160"/>
      </w:pPr>
      <w:r>
        <w:t>Instalator NIE pobiera ani nie instaluje Node.js automatycznie w imieniu użytkownika — to świadoma decyzja, żeby instalator nie uruchamiał żadnego zewnętrznego, niezweryfikowanego przez użytkownika procesu instalacyjnego. Zamiast tego pokazuje okno z dokładnie taką treścią:</w:t>
      </w:r>
    </w:p>
    <w:p w14:paraId="1D654F92" w14:textId="77777777" w:rsidR="00D818B1" w:rsidRDefault="00000000">
      <w:pPr>
        <w:spacing w:after="120"/>
        <w:ind w:left="400"/>
      </w:pPr>
      <w:r>
        <w:rPr>
          <w:i/>
          <w:iCs/>
        </w:rPr>
        <w:t>„Nie wykryto Node.js na tym komputerze.  Silnik skanowania Axe/Playwright wymaga Node.js do działania — reszta aplikacji Audyt Wizard działa bez niego normalnie.  1. Zainstaluj Node.js (LTS) ze strony https://nodejs.org 2. Uruchom ponownie ten instalator, LUB w wierszu poleceń w folderze:    &lt;folder instalacji&gt;\axe-engine    wykonaj ręcznie: npm install    a następnie: npx playwright install chromium”</w:t>
      </w:r>
    </w:p>
    <w:p w14:paraId="52AA493D" w14:textId="77777777" w:rsidR="00D818B1" w:rsidRDefault="00000000">
      <w:pPr>
        <w:spacing w:after="160"/>
      </w:pPr>
      <w:r>
        <w:t>Sama aplikacja Audyt Wizard instaluje się i uruchamia niezależnie od tego, czy Node.js jest obecny — brak silnika Axe oznacza tylko, że funkcja automatycznego skanowania (zakładka „Wyniki Axe”) pokaże czytelny komunikat o braku silnika zamiast wykonać skan, reszta programu (testy manualne, obserwacje, problemy, raporty) działa normalnie.</w:t>
      </w:r>
    </w:p>
    <w:p w14:paraId="69C881A6" w14:textId="77777777" w:rsidR="00D818B1" w:rsidRDefault="00000000">
      <w:pPr>
        <w:pStyle w:val="Nagwek2"/>
        <w:spacing w:before="320" w:after="140"/>
      </w:pPr>
      <w:r>
        <w:t>2.3. Pierwsze uruchomienie</w:t>
      </w:r>
    </w:p>
    <w:p w14:paraId="4C22AB00" w14:textId="77777777" w:rsidR="00D818B1" w:rsidRDefault="00000000">
      <w:pPr>
        <w:spacing w:after="160"/>
      </w:pPr>
      <w:r>
        <w:t>Po zakończeniu instalacji program można uruchomić od razu z poziomu kreatora (opcja zaznaczona domyślnie) albo później ze skrótu w menu Start / na pulpicie.</w:t>
      </w:r>
    </w:p>
    <w:p w14:paraId="6906F5D7" w14:textId="77777777" w:rsidR="00D818B1" w:rsidRDefault="00000000">
      <w:pPr>
        <w:spacing w:after="160"/>
      </w:pPr>
      <w:r>
        <w:t>Przy pierwszym uruchomieniu aplikacja tworzy obok pliku programu pustą bazę danych (audyt_wizard.db) — lista audytów jest wtedy pusta. Pliki konfiguracyjne AI (ai_config.json) i ewentualnej ręcznej ścieżki silnika Axe (axe_engine_config.json) powstają dopiero po skorzystaniu z odpowiednich okien ustawień.</w:t>
      </w:r>
    </w:p>
    <w:p w14:paraId="4B1226F3" w14:textId="77777777" w:rsidR="00D818B1" w:rsidRDefault="00000000">
      <w:pPr>
        <w:spacing w:after="160"/>
      </w:pPr>
      <w:r>
        <w:rPr>
          <w:i/>
          <w:iCs/>
        </w:rPr>
        <w:t>Uwaga: Klucz API do AI nigdy nie trafia do żadnego z tych plików — jest przechowywany osobno, w bezpiecznym magazynie systemu Windows (Menedżer poświadczeń Windows), powiązany z kontem użytkownika Windows, a nie z konkretną instalacją programu. Szczegóły w rozdziale „Ustawienia AI”.</w:t>
      </w:r>
    </w:p>
    <w:p w14:paraId="126D1D0F" w14:textId="77777777" w:rsidR="00D818B1" w:rsidRDefault="00000000">
      <w:pPr>
        <w:pStyle w:val="Nagwek1"/>
        <w:pageBreakBefore/>
        <w:spacing w:before="400" w:after="200"/>
      </w:pPr>
      <w:r>
        <w:lastRenderedPageBreak/>
        <w:t>3. Ekran główny — lista audytów</w:t>
      </w:r>
    </w:p>
    <w:p w14:paraId="7F0087AF" w14:textId="77777777" w:rsidR="00D818B1" w:rsidRDefault="00000000">
      <w:pPr>
        <w:spacing w:after="160"/>
      </w:pPr>
      <w:r>
        <w:t>Ekran główny (tytuł okna: „Audyt Wizard — lista audytów”) pojawia się od razu po uruchomieniu programu i jest punktem wyjścia do wszystkich pozostałych funkcji.</w:t>
      </w:r>
    </w:p>
    <w:p w14:paraId="52625077" w14:textId="77777777" w:rsidR="00D818B1" w:rsidRDefault="00000000">
      <w:pPr>
        <w:pStyle w:val="Nagwek2"/>
        <w:spacing w:before="320" w:after="140"/>
      </w:pPr>
      <w:r>
        <w:t>3.1. Pole wyboru i tabela</w:t>
      </w:r>
    </w:p>
    <w:p w14:paraId="20B5C3D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Pokaż zarchiwizowane audyty — </w:t>
      </w:r>
      <w:r>
        <w:t>pole wyboru — po zaznaczeniu tabela pokazuje również audyty wcześniej zarchiwizowane.</w:t>
      </w:r>
    </w:p>
    <w:p w14:paraId="7827DEEE" w14:textId="77777777" w:rsidR="00D818B1" w:rsidRDefault="00000000">
      <w:pPr>
        <w:spacing w:after="160"/>
      </w:pPr>
      <w:r>
        <w:t>Tabela audytów ma pięć kolumn:</w:t>
      </w:r>
    </w:p>
    <w:p w14:paraId="2CA0550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</w:t>
      </w:r>
    </w:p>
    <w:p w14:paraId="1DEA140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Typ (Pełny / Próbka / Reaudyt / Częściowy)</w:t>
      </w:r>
    </w:p>
    <w:p w14:paraId="380E41E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Poziom WCAG (A / AA / AAA)</w:t>
      </w:r>
    </w:p>
    <w:p w14:paraId="1602349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Status (W przygotowaniu / W toku / Zakończony / Zarchiwizowany)</w:t>
      </w:r>
    </w:p>
    <w:p w14:paraId="6DA7AB1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Utworzono (data utworzenia rekordu audytu)</w:t>
      </w:r>
    </w:p>
    <w:p w14:paraId="545B7A54" w14:textId="77777777" w:rsidR="00D818B1" w:rsidRDefault="00000000">
      <w:pPr>
        <w:spacing w:after="160"/>
      </w:pPr>
      <w:r>
        <w:t>Naciśnięcie klawisza Enter albo dwuklik na zaznaczonym wierszu otwiera okno „Szczegóły audytu” tego audytu.</w:t>
      </w:r>
    </w:p>
    <w:p w14:paraId="5470D4C9" w14:textId="77777777" w:rsidR="00D818B1" w:rsidRDefault="00000000">
      <w:pPr>
        <w:pStyle w:val="Nagwek2"/>
        <w:spacing w:before="320" w:after="140"/>
      </w:pPr>
      <w:r>
        <w:t>3.2. Przyciski</w:t>
      </w:r>
    </w:p>
    <w:p w14:paraId="07A00EEC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Zarządzaj zakresem — </w:t>
      </w:r>
      <w:r>
        <w:t>otwiera okno zarządzania zakresem wybranego audytu (strony, komponenty, procesy, testy, obserwacje, wyniki Axe, problemy, sprawdzenie kompletności danych, raporty) — aktywny tylko, gdy jakiś audyt jest zaznaczony.</w:t>
      </w:r>
    </w:p>
    <w:p w14:paraId="2269166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Archiwizuj zaznaczony audyt — </w:t>
      </w:r>
      <w:r>
        <w:t>przenosi zaznaczony audyt do archiwum (zmienia jego status na „Zarchiwizowany”) — nieaktywny, gdy audyt już jest zarchiwizowany.</w:t>
      </w:r>
    </w:p>
    <w:p w14:paraId="348E314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Przywróć z archiwum — </w:t>
      </w:r>
      <w:r>
        <w:t>przywraca zarchiwizowany audyt — aktywny tylko dla audytów ze statusem „Zarchiwizowany”.</w:t>
      </w:r>
    </w:p>
    <w:p w14:paraId="4E048CC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Nowy audyt — </w:t>
      </w:r>
      <w:r>
        <w:t>otwiera puste okno „Nowy audyt” do wprowadzenia nowego audytu.</w:t>
      </w:r>
    </w:p>
    <w:p w14:paraId="1F99023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Ustawienia AI — </w:t>
      </w:r>
      <w:r>
        <w:t>otwiera okno konfiguracji dostawcy, modelu i klucza API dla funkcji podpowiedzi AI — patrz rozdział 5.</w:t>
      </w:r>
    </w:p>
    <w:p w14:paraId="4BF7992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Ustawienia silnika Axe — </w:t>
      </w:r>
      <w:r>
        <w:t>otwiera okno konfiguracji ręcznej ścieżki do silnika skanującego Axe/Playwright — patrz rozdział 6.</w:t>
      </w:r>
    </w:p>
    <w:p w14:paraId="74BA5EF4" w14:textId="77777777" w:rsidR="00D818B1" w:rsidRDefault="00000000">
      <w:pPr>
        <w:spacing w:after="160"/>
      </w:pPr>
      <w:r>
        <w:rPr>
          <w:i/>
          <w:iCs/>
        </w:rPr>
        <w:t>Uwaga: Archiwizacja i przywracanie z archiwum nie usuwają żadnych danych audytu — to wyłącznie zmiana statusu, służąca do porządkowania listy (odsunięcia zakończonych/nieaktywnych audytów bez ich kasowania). Aplikacja nie ma funkcji trwałego usuwania całego audytu z poziomu interfejsu.</w:t>
      </w:r>
    </w:p>
    <w:p w14:paraId="2CD999EC" w14:textId="77777777" w:rsidR="00D818B1" w:rsidRDefault="00000000">
      <w:pPr>
        <w:pStyle w:val="Nagwek1"/>
        <w:pageBreakBefore/>
        <w:spacing w:before="400" w:after="200"/>
      </w:pPr>
      <w:r>
        <w:lastRenderedPageBreak/>
        <w:t>4. Szczegóły audytu</w:t>
      </w:r>
    </w:p>
    <w:p w14:paraId="32F2C023" w14:textId="77777777" w:rsidR="00D818B1" w:rsidRDefault="00000000">
      <w:pPr>
        <w:spacing w:after="160"/>
      </w:pPr>
      <w:r>
        <w:t>Okno „Nowy audyt” (przy tworzeniu) albo „Szczegóły audytu: &lt;nazwa&gt;” (przy edycji istniejącego) zawiera trzy zakładki. Zmiany zapisują się dopiero po naciśnięciu OK — przycisk Anuluj porzuca wszystkie wprowadzone zmiany na wszystkich trzech zakładkach.</w:t>
      </w:r>
    </w:p>
    <w:p w14:paraId="25C1CA8B" w14:textId="77777777" w:rsidR="00D818B1" w:rsidRDefault="00000000">
      <w:pPr>
        <w:pStyle w:val="Nagwek2"/>
        <w:spacing w:before="320" w:after="140"/>
      </w:pPr>
      <w:r>
        <w:t>4.1. Zakładka „Dane audytu”</w:t>
      </w:r>
    </w:p>
    <w:p w14:paraId="16840972" w14:textId="77777777" w:rsidR="00D818B1" w:rsidRDefault="00000000">
      <w:pPr>
        <w:pStyle w:val="Nagwek3"/>
        <w:spacing w:before="220" w:after="100"/>
      </w:pPr>
      <w:r>
        <w:t>Informacje podstawowe</w:t>
      </w:r>
    </w:p>
    <w:p w14:paraId="626B10CF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 audytu</w:t>
      </w:r>
    </w:p>
    <w:p w14:paraId="4070D07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 klienta</w:t>
      </w:r>
    </w:p>
    <w:p w14:paraId="42F9EAA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 serwisu/produktu</w:t>
      </w:r>
    </w:p>
    <w:p w14:paraId="08AAD8F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Główny adres URL</w:t>
      </w:r>
    </w:p>
    <w:p w14:paraId="1D52313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Nr audytu/sprawy</w:t>
      </w:r>
    </w:p>
    <w:p w14:paraId="7537726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Wersja dokumentu (np. 01/robocza)</w:t>
      </w:r>
    </w:p>
    <w:p w14:paraId="6B2DE988" w14:textId="77777777" w:rsidR="00D818B1" w:rsidRDefault="00000000">
      <w:pPr>
        <w:pStyle w:val="Nagwek3"/>
        <w:spacing w:before="220" w:after="100"/>
      </w:pPr>
      <w:r>
        <w:t>Typ i poziom zgodności</w:t>
      </w:r>
    </w:p>
    <w:p w14:paraId="5B65051C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Typ audytu — </w:t>
      </w:r>
      <w:r>
        <w:t>Pełny / Próbka / Reaudyt / Częściowy.</w:t>
      </w:r>
    </w:p>
    <w:p w14:paraId="4D81E30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Poziom WCAG — </w:t>
      </w:r>
      <w:r>
        <w:t>A / AA / AAA — domyślnie ustawiony na AA jako najczęstszy cel zgodności.</w:t>
      </w:r>
    </w:p>
    <w:p w14:paraId="0AEE836B" w14:textId="77777777" w:rsidR="00D818B1" w:rsidRDefault="00000000">
      <w:pPr>
        <w:pStyle w:val="Nagwek3"/>
        <w:spacing w:before="220" w:after="100"/>
      </w:pPr>
      <w:r>
        <w:t>Terminy</w:t>
      </w:r>
    </w:p>
    <w:p w14:paraId="7B34627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Data rozpoczęcia (RRRR-MM-DD) — </w:t>
      </w:r>
      <w:r>
        <w:t>WYMAGANE.</w:t>
      </w:r>
    </w:p>
    <w:p w14:paraId="23B2F4E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Data zakończenia (RRRR-MM-DD) — </w:t>
      </w:r>
      <w:r>
        <w:t>WYMAGANE.</w:t>
      </w:r>
    </w:p>
    <w:p w14:paraId="236940A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Data planowanego reaudytu (RRRR-MM-DD) — </w:t>
      </w:r>
      <w:r>
        <w:t>opcjonalna.</w:t>
      </w:r>
    </w:p>
    <w:p w14:paraId="17E2AD4D" w14:textId="77777777" w:rsidR="00D818B1" w:rsidRDefault="00000000">
      <w:pPr>
        <w:pStyle w:val="Nagwek3"/>
        <w:spacing w:before="220" w:after="100"/>
      </w:pPr>
      <w:r>
        <w:t>Zakres audytu</w:t>
      </w:r>
    </w:p>
    <w:p w14:paraId="6E1F19E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Zakres obejmuje (np. strona główna, formularz kontaktowy, proces zakupowy)</w:t>
      </w:r>
    </w:p>
    <w:p w14:paraId="3A31458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Zakres wyklucza (np. dokumenty PDF, treści zewnętrzne, panel administracyjny)</w:t>
      </w:r>
    </w:p>
    <w:p w14:paraId="0F441B2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Uwagi do zakresu (np. badano środowisko testowe, ograniczony dostęp do CMS)</w:t>
      </w:r>
    </w:p>
    <w:p w14:paraId="42D1ED2C" w14:textId="77777777" w:rsidR="00D818B1" w:rsidRDefault="00000000">
      <w:pPr>
        <w:pStyle w:val="Nagwek3"/>
        <w:spacing w:before="220" w:after="100"/>
      </w:pPr>
      <w:r>
        <w:t>Środowisko i narzędzia</w:t>
      </w:r>
    </w:p>
    <w:p w14:paraId="0A849A9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System operacyjny — nazwa i wersja, z przyciskiem „Wykryj system operacyjny” (wykrywa automatycznie system, na którym uruchomiona jest aplikacja, i wypełnia oba pola).</w:t>
      </w:r>
    </w:p>
    <w:p w14:paraId="1C2A372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Przeglądarka desktop 1 — nazwa i wersja.</w:t>
      </w:r>
    </w:p>
    <w:p w14:paraId="1A93309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Przeglądarka desktop 2 — nazwa i wersja (opcjonalnie).</w:t>
      </w:r>
    </w:p>
    <w:p w14:paraId="1BBB944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Przeglądarka mobilna — nazwa (np. Safari) i wersja.</w:t>
      </w:r>
    </w:p>
    <w:p w14:paraId="0635357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Czytnik ekranu — nazwa (np. NVDA, JAWS) i wersja.</w:t>
      </w:r>
    </w:p>
    <w:p w14:paraId="425050B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Nawigacja klawiaturowa (np. „Klawiatura fizyczna”).</w:t>
      </w:r>
    </w:p>
    <w:p w14:paraId="1E34A74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Powiększenie / zoom (np. „Testowano do 200%”).</w:t>
      </w:r>
    </w:p>
    <w:p w14:paraId="6502879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Walidatory/skanery (np. „Axe DevTools 4.10, WAVE”), z przyciskiem „Wykryj wersję Axe/Playwright” (odczytuje zainstalowane wersje axe-core/Playwright z aktualnie używanego silnika skanującego i wypełnia to pole oraz pole pomiaru kontrastu).</w:t>
      </w:r>
    </w:p>
    <w:p w14:paraId="2D179CA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Pomiar kontrastu (np. „WebAIM Contrast Checker”).</w:t>
      </w:r>
    </w:p>
    <w:p w14:paraId="7DE2218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Inne technologie/uwagi środowiskowe.</w:t>
      </w:r>
    </w:p>
    <w:p w14:paraId="672D87AB" w14:textId="77777777" w:rsidR="00D818B1" w:rsidRDefault="00000000">
      <w:pPr>
        <w:spacing w:after="160"/>
      </w:pPr>
      <w:r>
        <w:rPr>
          <w:i/>
          <w:iCs/>
        </w:rPr>
        <w:t>Uwaga: Jeśli przycisk „Wykryj wersję Axe/Playwright” nie znajdzie żadnego silnika (ani ręcznie ustawionego, ani dołączonego do instalacji, ani programistycznego), pokazuje komunikat informujący o tym i podpowiadający wpisanie narzędzi ręcznie albo skonfigurowanie ścieżki w oknie „Ustawienia silnika Axe” — patrz rozdział 6.</w:t>
      </w:r>
    </w:p>
    <w:p w14:paraId="58BA918C" w14:textId="77777777" w:rsidR="00D818B1" w:rsidRDefault="00000000">
      <w:pPr>
        <w:pStyle w:val="Nagwek3"/>
        <w:spacing w:before="220" w:after="100"/>
      </w:pPr>
      <w:r>
        <w:lastRenderedPageBreak/>
        <w:t>Zespół audytowy</w:t>
      </w:r>
    </w:p>
    <w:p w14:paraId="086E8D51" w14:textId="77777777" w:rsidR="00D818B1" w:rsidRDefault="00000000">
      <w:pPr>
        <w:spacing w:after="160"/>
      </w:pPr>
      <w:r>
        <w:t>Formularz dodawania osoby: Imię i nazwisko + Funkcja (Audytor prowadzący / Audytor / Tester / Konsultant / Weryfikator), przycisk „Dodaj do zespołu”. Dodane osoby pojawiają się na liście poniżej; przycisk „Usuń zaznaczoną osobę” usuwa zaznaczoną pozycję z listy.</w:t>
      </w:r>
    </w:p>
    <w:p w14:paraId="14300DA8" w14:textId="77777777" w:rsidR="00D818B1" w:rsidRDefault="00000000">
      <w:pPr>
        <w:spacing w:after="160"/>
      </w:pPr>
      <w:r>
        <w:rPr>
          <w:i/>
          <w:iCs/>
        </w:rPr>
        <w:t>Uwaga: Zespół (podobnie jak materiały wejściowe w zakładce 3) jest zbierany w pamięci okna i zapisywany do bazy w całości dopiero po naciśnięciu OK w oknie „Szczegóły audytu”.</w:t>
      </w:r>
    </w:p>
    <w:p w14:paraId="1288A679" w14:textId="77777777" w:rsidR="00D818B1" w:rsidRDefault="00000000">
      <w:pPr>
        <w:pStyle w:val="Nagwek2"/>
        <w:spacing w:before="320" w:after="140"/>
      </w:pPr>
      <w:r>
        <w:t>4.2. Zakładka „Karta audytu i podstawa oceny”</w:t>
      </w:r>
    </w:p>
    <w:p w14:paraId="1F672B87" w14:textId="77777777" w:rsidR="00D818B1" w:rsidRDefault="00000000">
      <w:pPr>
        <w:pStyle w:val="Nagwek3"/>
        <w:spacing w:before="220" w:after="100"/>
      </w:pPr>
      <w:r>
        <w:t>Cel audytu</w:t>
      </w:r>
    </w:p>
    <w:p w14:paraId="53FD9D07" w14:textId="77777777" w:rsidR="00D818B1" w:rsidRDefault="00000000">
      <w:pPr>
        <w:spacing w:after="160"/>
      </w:pPr>
      <w:r>
        <w:t>Lista rozwijana z gotowym, domyślnym tekstem:</w:t>
      </w:r>
    </w:p>
    <w:p w14:paraId="437DFE38" w14:textId="77777777" w:rsidR="00D818B1" w:rsidRDefault="00000000">
      <w:pPr>
        <w:spacing w:after="120"/>
        <w:ind w:left="400"/>
      </w:pPr>
      <w:r>
        <w:rPr>
          <w:i/>
          <w:iCs/>
        </w:rPr>
        <w:t>„ocena dostępności cyfrowej serwisu, identyfikacja niezgodności i ryzyk oraz przygotowanie materiału dowodowego i zaleceń naprawczych”</w:t>
      </w:r>
    </w:p>
    <w:p w14:paraId="538E7AAA" w14:textId="77777777" w:rsidR="00D818B1" w:rsidRDefault="00000000">
      <w:pPr>
        <w:spacing w:after="160"/>
      </w:pPr>
      <w:r>
        <w:t>Wybranie pozycji „Inny, jaki?” aktywuje poniższe pole własnej treści celu audytu.</w:t>
      </w:r>
    </w:p>
    <w:p w14:paraId="1C04C12C" w14:textId="77777777" w:rsidR="00D818B1" w:rsidRDefault="00000000">
      <w:pPr>
        <w:pStyle w:val="Nagwek3"/>
        <w:spacing w:before="220" w:after="100"/>
      </w:pPr>
      <w:r>
        <w:t>Typ oceny</w:t>
      </w:r>
    </w:p>
    <w:p w14:paraId="7D7380A9" w14:textId="77777777" w:rsidR="00D818B1" w:rsidRDefault="00000000">
      <w:pPr>
        <w:spacing w:after="160"/>
      </w:pPr>
      <w:r>
        <w:t>Analogicznie, lista z gotowym, domyślnym tekstem:</w:t>
      </w:r>
    </w:p>
    <w:p w14:paraId="531BBEC4" w14:textId="77777777" w:rsidR="00D818B1" w:rsidRDefault="00000000">
      <w:pPr>
        <w:spacing w:after="120"/>
        <w:ind w:left="400"/>
      </w:pPr>
      <w:r>
        <w:rPr>
          <w:i/>
          <w:iCs/>
        </w:rPr>
        <w:t>„audyt ekspercki zgodności strony WWW, badanie manualne wspierane narzędziami półautomatycznymi”</w:t>
      </w:r>
    </w:p>
    <w:p w14:paraId="6A724A47" w14:textId="77777777" w:rsidR="00D818B1" w:rsidRDefault="00000000">
      <w:pPr>
        <w:spacing w:after="160"/>
      </w:pPr>
      <w:r>
        <w:t>Wybranie pozycji „Inny, jaki?” aktywuje poniższe pole własnej treści typu oceny.</w:t>
      </w:r>
    </w:p>
    <w:p w14:paraId="3D988745" w14:textId="77777777" w:rsidR="00D818B1" w:rsidRDefault="00000000">
      <w:pPr>
        <w:pStyle w:val="Nagwek3"/>
        <w:spacing w:before="220" w:after="100"/>
      </w:pPr>
      <w:r>
        <w:t>Podstawa kontraktowa / prawna (można zaznaczyć kilka)</w:t>
      </w:r>
    </w:p>
    <w:p w14:paraId="1F8A371D" w14:textId="77777777" w:rsidR="00D818B1" w:rsidRDefault="00000000">
      <w:pPr>
        <w:spacing w:after="160"/>
      </w:pPr>
      <w:r>
        <w:t>Sześć gotowych do zaznaczenia pozycji (checkboxy), z pełną, dosłowną treścią podstawy prawnej:</w:t>
      </w:r>
    </w:p>
    <w:p w14:paraId="14710D3C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Ustawa z 4 kwietnia 2019 r. o dostępności cyfrowej stron internetowych i aplikacji mobilnych podmiotów publicznych (Dz.U. 2019 poz. 848)</w:t>
      </w:r>
    </w:p>
    <w:p w14:paraId="5015650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Ustawa z 19 lipca 2019 r. o zapewnianiu dostępności osobom ze szczególnymi potrzebami (Dz.U. 2019 poz. 1696)</w:t>
      </w:r>
    </w:p>
    <w:p w14:paraId="5FD19A2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Ustawa z 26 kwietnia 2024 r. o zapewnianiu spełniania wymagań dostępności niektórych produktów i usług przez podmioty gospodarcze (Dz.U. 2024 poz. 731)</w:t>
      </w:r>
    </w:p>
    <w:p w14:paraId="0713B77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Ustawa z 11 września 2019 r. – Prawo zamówień publicznych (Dz.U. 2019 poz. 2019)</w:t>
      </w:r>
    </w:p>
    <w:p w14:paraId="1A7310C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Dyrektywa Parlamentu Europejskiego i Rady (UE) 2016/2102 z 26 października 2016 r. w sprawie dostępności stron internetowych i mobilnych aplikacji organów sektora publicznego</w:t>
      </w:r>
    </w:p>
    <w:p w14:paraId="4B57580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Dyrektywa Parlamentu Europejskiego i Rady (UE) 2019/882 z 17 kwietnia 2019 r. w sprawie wymogów dostępności produktów i usług</w:t>
      </w:r>
    </w:p>
    <w:p w14:paraId="70D8745B" w14:textId="77777777" w:rsidR="00D818B1" w:rsidRDefault="00000000">
      <w:pPr>
        <w:spacing w:after="160"/>
      </w:pPr>
      <w:r>
        <w:t>Dodatkowo osobny checkbox „Inna podstawa” z polem tekstowym „Inna podstawa — jaka?” — można zaznaczyć dowolną liczbę z powyższych podstaw prawnych ORAZ jednocześnie wpisać podstawę własną.</w:t>
      </w:r>
    </w:p>
    <w:p w14:paraId="3AF4BE45" w14:textId="77777777" w:rsidR="00D818B1" w:rsidRDefault="00000000">
      <w:pPr>
        <w:pStyle w:val="Nagwek3"/>
        <w:spacing w:before="220" w:after="100"/>
      </w:pPr>
      <w:r>
        <w:t>Wersja WCAG użyta operacyjnie</w:t>
      </w:r>
    </w:p>
    <w:p w14:paraId="5A34369B" w14:textId="77777777" w:rsidR="00D818B1" w:rsidRDefault="00000000">
      <w:pPr>
        <w:spacing w:after="160"/>
      </w:pPr>
      <w:r>
        <w:t>Lista: WCAG 2.1 / WCAG 2.2 (domyślnie zaznaczone) / EN 301 549. (Sam poziom A/AA/AAA wybiera się osobno, w zakładce „Dane audytu”.)</w:t>
      </w:r>
    </w:p>
    <w:p w14:paraId="201FB479" w14:textId="77777777" w:rsidR="00D818B1" w:rsidRDefault="00000000">
      <w:pPr>
        <w:pStyle w:val="Nagwek3"/>
        <w:spacing w:before="220" w:after="100"/>
      </w:pPr>
      <w:r>
        <w:t>Zakres językowy</w:t>
      </w:r>
    </w:p>
    <w:p w14:paraId="7B5B4977" w14:textId="77777777" w:rsidR="00D818B1" w:rsidRDefault="00000000">
      <w:pPr>
        <w:spacing w:after="160"/>
      </w:pPr>
      <w:r>
        <w:t>Lista: PL / EN / „Inny, jaki?” (z polem tekstowym własnego języka).</w:t>
      </w:r>
    </w:p>
    <w:p w14:paraId="781E4D51" w14:textId="77777777" w:rsidR="00D818B1" w:rsidRDefault="00000000">
      <w:pPr>
        <w:pStyle w:val="Nagwek3"/>
        <w:spacing w:before="220" w:after="100"/>
      </w:pPr>
      <w:r>
        <w:t>Środowisko badane</w:t>
      </w:r>
    </w:p>
    <w:p w14:paraId="3D891CA1" w14:textId="77777777" w:rsidR="00D818B1" w:rsidRDefault="00000000">
      <w:pPr>
        <w:spacing w:after="160"/>
      </w:pPr>
      <w:r>
        <w:t>Lista: Produkcyjne / Robocze / Testowe.</w:t>
      </w:r>
    </w:p>
    <w:p w14:paraId="501C1E3C" w14:textId="77777777" w:rsidR="00D818B1" w:rsidRDefault="00000000">
      <w:pPr>
        <w:pStyle w:val="Nagwek3"/>
        <w:spacing w:before="220" w:after="100"/>
      </w:pPr>
      <w:r>
        <w:t>Uwagi do zgodności formalnej</w:t>
      </w:r>
    </w:p>
    <w:p w14:paraId="61C0C427" w14:textId="77777777" w:rsidR="00D818B1" w:rsidRDefault="00000000">
      <w:pPr>
        <w:spacing w:after="160"/>
      </w:pPr>
      <w:r>
        <w:t>Lista z trzema gotowymi opcjami oraz pozycją „Inny, jaki?”:</w:t>
      </w:r>
    </w:p>
    <w:p w14:paraId="3B31FCA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lastRenderedPageBreak/>
        <w:t>Werdykt formalny — EN 301 549</w:t>
      </w:r>
    </w:p>
    <w:p w14:paraId="07B5C55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Werdykt formalny — v3.2.1 / WCAG 2.1/2.2</w:t>
      </w:r>
    </w:p>
    <w:p w14:paraId="6360896C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Obserwacje rozwojowe wg WCAG 2.2 poza werdyktem formalnym</w:t>
      </w:r>
    </w:p>
    <w:p w14:paraId="0984E6E1" w14:textId="77777777" w:rsidR="00D818B1" w:rsidRDefault="00000000">
      <w:pPr>
        <w:spacing w:after="160"/>
      </w:pPr>
      <w:r>
        <w:rPr>
          <w:i/>
          <w:iCs/>
        </w:rPr>
        <w:t>Uwaga: To pole ma kluczowe znaczenie dla sekcji „Werdykt zgodności” w końcowym raporcie — patrz rozdział 8. Jest to jedyne miejsce, w którym audytor może świadomie zadeklarować werdykt SPEŁNIONY (aplikacja nigdy nie robi tego automatycznie).</w:t>
      </w:r>
    </w:p>
    <w:p w14:paraId="4A99F5C4" w14:textId="77777777" w:rsidR="00D818B1" w:rsidRDefault="00000000">
      <w:pPr>
        <w:pStyle w:val="Nagwek2"/>
        <w:spacing w:before="320" w:after="140"/>
      </w:pPr>
      <w:r>
        <w:t>4.3. Zakładka „Materiały wejściowe i dostępy”</w:t>
      </w:r>
    </w:p>
    <w:p w14:paraId="0F764A9B" w14:textId="77777777" w:rsidR="00D818B1" w:rsidRDefault="00000000">
      <w:pPr>
        <w:spacing w:after="160"/>
      </w:pPr>
      <w:r>
        <w:t>Stała lista ośmiu pozycji materiałów i dostępów, o które warto poprosić klienta przed rozpoczęciem audytu. Dla każdej pozycji: pole „Otrzymano?” (Tak / Nie / Częściowo otrzymano — domyślnie „Nie”) oraz pole „Uwagi”.</w:t>
      </w:r>
    </w:p>
    <w:p w14:paraId="4818CD1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1. Mapa serwisu / lista sekcji</w:t>
      </w:r>
    </w:p>
    <w:p w14:paraId="7A80A85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2. Lista procesów biznesowych</w:t>
      </w:r>
    </w:p>
    <w:p w14:paraId="34C732A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3. Konta testowe</w:t>
      </w:r>
    </w:p>
    <w:p w14:paraId="58EE0B4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4. Lista komponentów / design system</w:t>
      </w:r>
    </w:p>
    <w:p w14:paraId="3F34676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5. Lista dokumentów do pobrania</w:t>
      </w:r>
    </w:p>
    <w:p w14:paraId="586EEF5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6. Lista multimediów</w:t>
      </w:r>
    </w:p>
    <w:p w14:paraId="32E0ED8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7. Kontakt techniczny po stronie klienta</w:t>
      </w:r>
    </w:p>
    <w:p w14:paraId="7A04C60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8. Termin zamrożenia zmian / okno badania</w:t>
      </w:r>
    </w:p>
    <w:p w14:paraId="242DFC05" w14:textId="77777777" w:rsidR="00D818B1" w:rsidRDefault="00000000">
      <w:pPr>
        <w:spacing w:after="160"/>
      </w:pPr>
      <w:r>
        <w:rPr>
          <w:i/>
          <w:iCs/>
        </w:rPr>
        <w:t>Uwaga: Lista ośmiu pozycji jest stała — nie da się dodać ani usunąć pozycji, tylko wypełnić status i uwagi dla każdej z nich.</w:t>
      </w:r>
    </w:p>
    <w:p w14:paraId="132A20DD" w14:textId="77777777" w:rsidR="00D818B1" w:rsidRDefault="00000000">
      <w:pPr>
        <w:pStyle w:val="Nagwek2"/>
        <w:spacing w:before="320" w:after="140"/>
      </w:pPr>
      <w:r>
        <w:t>4.4. Walidacja przy zatwierdzaniu (OK)</w:t>
      </w:r>
    </w:p>
    <w:p w14:paraId="523B77FB" w14:textId="77777777" w:rsidR="00D818B1" w:rsidRDefault="00000000">
      <w:pPr>
        <w:spacing w:after="160"/>
      </w:pPr>
      <w:r>
        <w:t>Przy naciśnięciu OK w oknie „Szczegóły audytu” sprawdzane są trzy pola — brak któregokolwiek blokuje zapis i przenosi fokus z powrotem na brakujące pole (na zakładce „Dane audytu”):</w:t>
      </w:r>
    </w:p>
    <w:p w14:paraId="4E76ACC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 audytu jest wymagana.</w:t>
      </w:r>
    </w:p>
    <w:p w14:paraId="39CF2AE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Data rozpoczęcia audytu jest wymagana.</w:t>
      </w:r>
    </w:p>
    <w:p w14:paraId="5BADCD3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Data zakończenia audytu jest wymagana.</w:t>
      </w:r>
    </w:p>
    <w:p w14:paraId="35A77786" w14:textId="77777777" w:rsidR="00D818B1" w:rsidRDefault="00000000">
      <w:pPr>
        <w:pStyle w:val="Nagwek1"/>
        <w:pageBreakBefore/>
        <w:spacing w:before="400" w:after="200"/>
      </w:pPr>
      <w:r>
        <w:lastRenderedPageBreak/>
        <w:t>5. Ustawienia AI</w:t>
      </w:r>
    </w:p>
    <w:p w14:paraId="74A12BC3" w14:textId="77777777" w:rsidR="00D818B1" w:rsidRDefault="00000000">
      <w:pPr>
        <w:spacing w:after="160"/>
      </w:pPr>
      <w:r>
        <w:t>Okno „Ustawienia AI” (dostępne z ekranu głównego) konfiguruje dostawcę modelu językowego używanego przez wszystkie opcjonalne funkcje podpowiedzi AI w aplikacji: propozycję selektora elementu i kryterium WCAG (obserwacje), propozycję rekomendacji naprawy i wykrywanie duplikatów (problemy) oraz podsumowanie opisowe raportu zarządczego.</w:t>
      </w:r>
    </w:p>
    <w:p w14:paraId="6618E11B" w14:textId="77777777" w:rsidR="00D818B1" w:rsidRDefault="00000000">
      <w:pPr>
        <w:pStyle w:val="Nagwek2"/>
        <w:spacing w:before="320" w:after="140"/>
      </w:pPr>
      <w:r>
        <w:t>5.1. Pola formularza</w:t>
      </w:r>
    </w:p>
    <w:p w14:paraId="6380C00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Dostawca AI — </w:t>
      </w:r>
      <w:r>
        <w:t>Anthropic (Claude) / OpenAI / Inny (zgodny z formatem zapytań OpenAI).</w:t>
      </w:r>
    </w:p>
    <w:p w14:paraId="5D53594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Model — </w:t>
      </w:r>
      <w:r>
        <w:t>dokładna nazwa modelu wybranego dostawcy — wymagana do wysłania zapytania, niepoprawna nazwa spowoduje błąd. Przy zmianie dostawcy pole podpowiada domyślną wartość (o ile nie zostało wcześniej wpisane ręcznie): dla Anthropic „claude-haiku-4-5-20251001”, dla OpenAI „gpt-4o-mini”, dla „Inny” pole pozostaje puste.</w:t>
      </w:r>
    </w:p>
    <w:p w14:paraId="6194F45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Adres URL API — </w:t>
      </w:r>
      <w:r>
        <w:t>aktywne wyłącznie dla dostawcy „Inny” (zgodny z formatem OpenAI) — dla pozostałych dostawców pole jest nieaktywne.</w:t>
      </w:r>
    </w:p>
    <w:p w14:paraId="2A6EE85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Klucz API — </w:t>
      </w:r>
      <w:r>
        <w:t>pole tekstowe BEZ maskowania znaków (świadoma decyzja: to lokalna, jednoosobowa aplikacja desktopowa bez ryzyka podglądania ekranu przez kogoś innego, a maskowanie hasła uniemożliwiłoby użytkownikowi NVDA odczytanie wpisywanych znaków).</w:t>
      </w:r>
    </w:p>
    <w:p w14:paraId="7BD3AAD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Sprawdź połączenie — </w:t>
      </w:r>
      <w:r>
        <w:t>przycisk wysyłający krótkie zapytanie testowe do dostawcy przy użyciu aktualnie wpisanych (jeszcze niezapisanych) wartości formularza.</w:t>
      </w:r>
    </w:p>
    <w:p w14:paraId="024EE40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Wynik sprawdzenia połączenia — </w:t>
      </w:r>
      <w:r>
        <w:t>pole tylko do odczytu pokazujące wynik testu — sukces z fragmentem odpowiedzi modelu albo treść błędu.</w:t>
      </w:r>
    </w:p>
    <w:p w14:paraId="278E0728" w14:textId="77777777" w:rsidR="00D818B1" w:rsidRDefault="00000000">
      <w:pPr>
        <w:pStyle w:val="Nagwek2"/>
        <w:spacing w:before="320" w:after="140"/>
      </w:pPr>
      <w:r>
        <w:t>5.2. Skąd wziąć klucz API</w:t>
      </w:r>
    </w:p>
    <w:p w14:paraId="0EB548A0" w14:textId="77777777" w:rsidR="00D818B1" w:rsidRDefault="00000000">
      <w:pPr>
        <w:spacing w:after="160"/>
      </w:pPr>
      <w:r>
        <w:t>Aplikacja sama nie tłumaczy, skąd pozyskać klucz — poniższe wskazówki są ogólną wiedzą o usługach obu dostawców, nie fragmentem interfejsu Audyt Wizard.</w:t>
      </w:r>
    </w:p>
    <w:p w14:paraId="5BAFEA5B" w14:textId="77777777" w:rsidR="00D818B1" w:rsidRDefault="00000000">
      <w:pPr>
        <w:pStyle w:val="Nagwek3"/>
        <w:spacing w:before="220" w:after="100"/>
      </w:pPr>
      <w:r>
        <w:t>Anthropic (Claude)</w:t>
      </w:r>
    </w:p>
    <w:p w14:paraId="06BE82CC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Załóż konto na stronie console.anthropic.com.</w:t>
      </w:r>
    </w:p>
    <w:p w14:paraId="55AC888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 panelu konsoli przejdź do sekcji kluczy API (API Keys) i utwórz nowy klucz.</w:t>
      </w:r>
    </w:p>
    <w:p w14:paraId="56FD7FC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Konto wymaga doładowania środków (przedpłata) — koszt zapytań rozliczany jest wg zużycia (liczby przetworzonych tokenów), zwykle bardzo niski dla pojedynczych podpowiedzi tekstowych używanych w tej aplikacji.</w:t>
      </w:r>
    </w:p>
    <w:p w14:paraId="561BB0A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Skopiowany klucz wklej w polu „Klucz API” w Ustawieniach AI po wybraniu dostawcy „Anthropic (Claude)”.</w:t>
      </w:r>
    </w:p>
    <w:p w14:paraId="7F5431A8" w14:textId="77777777" w:rsidR="00D818B1" w:rsidRDefault="00000000">
      <w:pPr>
        <w:pStyle w:val="Nagwek3"/>
        <w:spacing w:before="220" w:after="100"/>
      </w:pPr>
      <w:r>
        <w:t>OpenAI</w:t>
      </w:r>
    </w:p>
    <w:p w14:paraId="5C01EF1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Załóż konto na stronie platform.openai.com.</w:t>
      </w:r>
    </w:p>
    <w:p w14:paraId="513D54E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 panelu konta przejdź do sekcji kluczy API (API keys) i utwórz nowy klucz (secret key).</w:t>
      </w:r>
    </w:p>
    <w:p w14:paraId="38EE700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Podobnie jak w Anthropic — konto rozliczane jest wg zużycia, zwykle wymaga wcześniejszego doładowania.</w:t>
      </w:r>
    </w:p>
    <w:p w14:paraId="2E4C245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Skopiowany klucz wklej w polu „Klucz API” w Ustawieniach AI po wybraniu dostawcy „OpenAI”.</w:t>
      </w:r>
    </w:p>
    <w:p w14:paraId="3A1B041C" w14:textId="77777777" w:rsidR="00D818B1" w:rsidRDefault="00000000">
      <w:pPr>
        <w:pStyle w:val="Nagwek3"/>
        <w:spacing w:before="220" w:after="100"/>
      </w:pPr>
      <w:r>
        <w:t>Dostawca „Inny”</w:t>
      </w:r>
    </w:p>
    <w:p w14:paraId="39796C3B" w14:textId="77777777" w:rsidR="00D818B1" w:rsidRDefault="00000000">
      <w:pPr>
        <w:spacing w:after="160"/>
      </w:pPr>
      <w:r>
        <w:t>Ta opcja pozwala skorzystać z dowolnej usługi kompatybilnej z formatem zapytań OpenAI (np. lokalnie hostowany model, albo inny dostawca oferujący zgodny format API) — wymaga dodatkowo podania adresu URL punktu końcowego API tej usługi.</w:t>
      </w:r>
    </w:p>
    <w:p w14:paraId="0239E6E8" w14:textId="77777777" w:rsidR="00D818B1" w:rsidRDefault="00000000">
      <w:pPr>
        <w:pStyle w:val="Nagwek2"/>
        <w:spacing w:before="320" w:after="140"/>
      </w:pPr>
      <w:r>
        <w:t>5.3. Gdzie jest przechowywany klucz</w:t>
      </w:r>
    </w:p>
    <w:p w14:paraId="025C1319" w14:textId="77777777" w:rsidR="00D818B1" w:rsidRDefault="00000000">
      <w:pPr>
        <w:spacing w:after="160"/>
      </w:pPr>
      <w:r>
        <w:lastRenderedPageBreak/>
        <w:t>Klucz API NIGDY nie jest zapisywany w bazie danych SQLite ani w żadnym zwykłym pliku na dysku (w tym w pliku ai_config.json, w którym zapisywane są tylko dostawca, model i ewentualny adres URL — bez klucza). Klucz trafia wyłącznie do bezpiecznego magazynu systemowego Windows (Menedżer poświadczeń Windows, poprzez bibliotekę keyring), pod nazwą usługi „audyt-wizard-ai”, osobno dla każdego dostawcy.</w:t>
      </w:r>
    </w:p>
    <w:p w14:paraId="21555E22" w14:textId="77777777" w:rsidR="00D818B1" w:rsidRDefault="00000000">
      <w:pPr>
        <w:spacing w:after="160"/>
      </w:pPr>
      <w:r>
        <w:rPr>
          <w:i/>
          <w:iCs/>
        </w:rPr>
        <w:t>Uwaga: Ważna konsekwencja: klucz API jest powiązany z kontem użytkownika Windows na danym komputerze, NIE z plikiem instalacyjnym ani folderem programu. Przeniesienie/skopiowanie folderu aplikacji na inny komputer albo do innego profilu Windows NIE przeniesie zapisanego klucza — trzeba go wtedy wpisać ponownie w Ustawieniach AI.</w:t>
      </w:r>
    </w:p>
    <w:p w14:paraId="630903BB" w14:textId="77777777" w:rsidR="00D818B1" w:rsidRDefault="00000000">
      <w:pPr>
        <w:pStyle w:val="Nagwek1"/>
        <w:pageBreakBefore/>
        <w:spacing w:before="400" w:after="200"/>
      </w:pPr>
      <w:r>
        <w:lastRenderedPageBreak/>
        <w:t>6. Ustawienia silnika Axe</w:t>
      </w:r>
    </w:p>
    <w:p w14:paraId="6BE0F6C5" w14:textId="77777777" w:rsidR="00D818B1" w:rsidRDefault="00000000">
      <w:pPr>
        <w:spacing w:after="160"/>
      </w:pPr>
      <w:r>
        <w:t>Okno „Ustawienia silnika Axe” (dostępne z ekranu głównego) pozwala ręcznie wskazać folder z projektem silnika automatycznego skanowania Axe/Playwright — potrzebne tylko wtedy, gdy silnik znajduje się w niestandardowej lokalizacji.</w:t>
      </w:r>
    </w:p>
    <w:p w14:paraId="3067DB9A" w14:textId="77777777" w:rsidR="00D818B1" w:rsidRDefault="00000000">
      <w:pPr>
        <w:pStyle w:val="Nagwek2"/>
        <w:spacing w:before="320" w:after="140"/>
      </w:pPr>
      <w:r>
        <w:t>6.1. Automatyczne wykrywanie silnika (kolejność sprawdzania)</w:t>
      </w:r>
    </w:p>
    <w:p w14:paraId="1B607C7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1. Ręcznie ustawiona ścieżka (ustawiona właśnie w tym oknie).</w:t>
      </w:r>
    </w:p>
    <w:p w14:paraId="5F947D3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2. Folder „axe-engine” leżący obok danych aplikacji (tu instalator umieszcza silnik przy standardowej instalacji).</w:t>
      </w:r>
    </w:p>
    <w:p w14:paraId="5E94442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3. Domyślna ścieżka programistyczna (używana tylko na komputerze deweloperskim, nieistotna dla zwykłego użytkownika).</w:t>
      </w:r>
    </w:p>
    <w:p w14:paraId="790672B6" w14:textId="77777777" w:rsidR="00D818B1" w:rsidRDefault="00000000">
      <w:pPr>
        <w:spacing w:after="160"/>
      </w:pPr>
      <w:r>
        <w:t>Jeśli żadna z tych trzech lokalizacji nie zawiera poprawnego silnika (pliku src/cli/index.js), funkcje skanowania Axe pokazują czytelny komunikat o braku silnika.</w:t>
      </w:r>
    </w:p>
    <w:p w14:paraId="076BB053" w14:textId="77777777" w:rsidR="00D818B1" w:rsidRDefault="00000000">
      <w:pPr>
        <w:pStyle w:val="Nagwek2"/>
        <w:spacing w:before="320" w:after="140"/>
      </w:pPr>
      <w:r>
        <w:t>6.2. Pola formularza</w:t>
      </w:r>
    </w:p>
    <w:p w14:paraId="49580B8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Folder projektu silnika Axe Playwright (opcjonalnie) — </w:t>
      </w:r>
      <w:r>
        <w:t>pole tekstowe ze ścieżką — pozostaw puste, aby korzystać z automatycznego wykrywania opisanego wyżej.</w:t>
      </w:r>
    </w:p>
    <w:p w14:paraId="51BF672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Przeglądaj… — </w:t>
      </w:r>
      <w:r>
        <w:t>otwiera systemowe okno wyboru folderu.</w:t>
      </w:r>
    </w:p>
    <w:p w14:paraId="36E4271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Sprawdź ścieżkę — </w:t>
      </w:r>
      <w:r>
        <w:t>sprawdza, czy w podanym folderze rzeczywiście istnieje plik src/cli/index.js, i pokazuje wynik w polu poniżej.</w:t>
      </w:r>
    </w:p>
    <w:p w14:paraId="69BC8FD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Wynik sprawdzenia — </w:t>
      </w:r>
      <w:r>
        <w:t>pole tylko do odczytu — pokazuje albo potwierdzenie znalezienia silnika, albo informację o jego braku, albo (przy pustym polu ścieżki) informację, że po zapisaniu aplikacja wróci do automatycznego wykrywania.</w:t>
      </w:r>
    </w:p>
    <w:p w14:paraId="01E7404B" w14:textId="77777777" w:rsidR="00D818B1" w:rsidRDefault="00000000">
      <w:pPr>
        <w:spacing w:after="160"/>
      </w:pPr>
      <w:r>
        <w:rPr>
          <w:i/>
          <w:iCs/>
        </w:rPr>
        <w:t>Uwaga: W przeciwieństwie do klucza API, ścieżka do silnika Axe nie jest traktowana jako sekret — jest zapisywana wprost w zwykłym pliku JSON (axe_engine_config.json) obok bazy danych, bez użycia magazynu kluczy systemu.</w:t>
      </w:r>
    </w:p>
    <w:p w14:paraId="1F9A232A" w14:textId="77777777" w:rsidR="00D818B1" w:rsidRDefault="00000000">
      <w:pPr>
        <w:pStyle w:val="Nagwek1"/>
        <w:pageBreakBefore/>
        <w:spacing w:before="400" w:after="200"/>
      </w:pPr>
      <w:r>
        <w:lastRenderedPageBreak/>
        <w:t>7. Zarządzanie zakresem audytu</w:t>
      </w:r>
    </w:p>
    <w:p w14:paraId="7743B249" w14:textId="77777777" w:rsidR="00D818B1" w:rsidRDefault="00000000">
      <w:pPr>
        <w:spacing w:after="160"/>
      </w:pPr>
      <w:r>
        <w:t>Okno „Zakres audytu: &lt;nazwa&gt;” otwiera się przyciskiem „Zarządzaj zakresem” z ekranu głównego i zawiera dziewięć zakładek. W przeciwieństwie do okna „Szczegóły audytu”, zmiany w każdej zakładce zapisują się NATYCHMIAST (własne przyciski Nowy/Usuń/edycja z bezpośrednim zapisem do bazy) — okno ma tylko jeden przycisk „Zamknij” na dole, bez rozróżnienia OK/Anuluj.</w:t>
      </w:r>
    </w:p>
    <w:p w14:paraId="7B1B9BEB" w14:textId="77777777" w:rsidR="00D818B1" w:rsidRDefault="00000000">
      <w:pPr>
        <w:pStyle w:val="Nagwek2"/>
        <w:spacing w:before="320" w:after="140"/>
      </w:pPr>
      <w:r>
        <w:t>7.1. Zakładka „Strony”</w:t>
      </w:r>
    </w:p>
    <w:p w14:paraId="6D397AE2" w14:textId="77777777" w:rsidR="00D818B1" w:rsidRDefault="00000000">
      <w:pPr>
        <w:spacing w:after="160"/>
      </w:pPr>
      <w:r>
        <w:t>Tabela z kolumnami: Identyfikator, Nazwa, URL, Typ, Powód wyboru, Status.</w:t>
      </w:r>
    </w:p>
    <w:p w14:paraId="512C1B53" w14:textId="77777777" w:rsidR="00D818B1" w:rsidRDefault="00000000">
      <w:pPr>
        <w:spacing w:after="160"/>
      </w:pPr>
      <w:r>
        <w:t>Przyciski: „Usuń zaznaczoną stronę”, „Nowa strona”. Enter/dwuklik na wierszu otwiera edycję.</w:t>
      </w:r>
    </w:p>
    <w:p w14:paraId="2421164C" w14:textId="77777777" w:rsidR="00D818B1" w:rsidRDefault="00000000">
      <w:pPr>
        <w:pStyle w:val="Nagwek3"/>
        <w:spacing w:before="220" w:after="100"/>
      </w:pPr>
      <w:r>
        <w:t>Okno „Strona” — pola</w:t>
      </w:r>
    </w:p>
    <w:p w14:paraId="24611E9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Identyfikator (np. PAGE-001) — WYMAGANY</w:t>
      </w:r>
    </w:p>
    <w:p w14:paraId="3CDFCE3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 strony — WYMAGANA</w:t>
      </w:r>
    </w:p>
    <w:p w14:paraId="70F7E14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Adres URL — WYMAGANY</w:t>
      </w:r>
    </w:p>
    <w:p w14:paraId="70899EC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Typ strony (np. strona główna, kontakt, formularz, artykuł, logowanie, inne)</w:t>
      </w:r>
    </w:p>
    <w:p w14:paraId="6A9D379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Powód wyboru (np. reprezentatywny widok formularza, część próby losowej uzupełniającej)</w:t>
      </w:r>
    </w:p>
    <w:p w14:paraId="2C6AB37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Uwagi</w:t>
      </w:r>
    </w:p>
    <w:p w14:paraId="147294C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Status: Nie rozpoczęta / W toku / Zbadana</w:t>
      </w:r>
    </w:p>
    <w:p w14:paraId="0AC2358B" w14:textId="77777777" w:rsidR="00D818B1" w:rsidRDefault="00000000">
      <w:pPr>
        <w:spacing w:after="160"/>
      </w:pPr>
      <w:r>
        <w:rPr>
          <w:i/>
          <w:iCs/>
        </w:rPr>
        <w:t>Uwaga: Próba usunięcia strony używanej gdzie indziej w audycie (np. jako krok procesu) kończy się czytelnym komunikatem błędu zamiast usunięcia — usuń najpierw powiązania.</w:t>
      </w:r>
    </w:p>
    <w:p w14:paraId="578CBF28" w14:textId="77777777" w:rsidR="00D818B1" w:rsidRDefault="00000000">
      <w:pPr>
        <w:pStyle w:val="Nagwek2"/>
        <w:spacing w:before="320" w:after="140"/>
      </w:pPr>
      <w:r>
        <w:t>7.2. Zakładka „Komponenty”</w:t>
      </w:r>
    </w:p>
    <w:p w14:paraId="4D8E3B12" w14:textId="77777777" w:rsidR="00D818B1" w:rsidRDefault="00000000">
      <w:pPr>
        <w:spacing w:after="160"/>
      </w:pPr>
      <w:r>
        <w:t>Tabela z kolumnami: Identyfikator, Nazwa, Opis, Status.</w:t>
      </w:r>
    </w:p>
    <w:p w14:paraId="647CFDB3" w14:textId="77777777" w:rsidR="00D818B1" w:rsidRDefault="00000000">
      <w:pPr>
        <w:spacing w:after="160"/>
      </w:pPr>
      <w:r>
        <w:t>Przyciski: „Usuń zaznaczony komponent”, „Nowy komponent”.</w:t>
      </w:r>
    </w:p>
    <w:p w14:paraId="2A1DA5E7" w14:textId="77777777" w:rsidR="00D818B1" w:rsidRDefault="00000000">
      <w:pPr>
        <w:pStyle w:val="Nagwek3"/>
        <w:spacing w:before="220" w:after="100"/>
      </w:pPr>
      <w:r>
        <w:t>Okno „Komponent” — pola</w:t>
      </w:r>
    </w:p>
    <w:p w14:paraId="4E725BA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Identyfikator (np. NAV-01) — WYMAGANY</w:t>
      </w:r>
    </w:p>
    <w:p w14:paraId="1432A2C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 komponentu — WYMAGANA</w:t>
      </w:r>
    </w:p>
    <w:p w14:paraId="759BA45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Opis (np. menu główne, powtarzalne na wszystkich stronach)</w:t>
      </w:r>
    </w:p>
    <w:p w14:paraId="6EFC03E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Status: Nie rozpoczęty / W toku / Zbadany</w:t>
      </w:r>
    </w:p>
    <w:p w14:paraId="552EA995" w14:textId="77777777" w:rsidR="00D818B1" w:rsidRDefault="00000000">
      <w:pPr>
        <w:pStyle w:val="Nagwek2"/>
        <w:spacing w:before="320" w:after="140"/>
      </w:pPr>
      <w:r>
        <w:t>7.3. Zakładka „Procesy”</w:t>
      </w:r>
    </w:p>
    <w:p w14:paraId="7A2C8BEC" w14:textId="77777777" w:rsidR="00D818B1" w:rsidRDefault="00000000">
      <w:pPr>
        <w:spacing w:after="160"/>
      </w:pPr>
      <w:r>
        <w:t>Tabela z kolumnami: Identyfikator, Nazwa, Opis, Status, Liczba kroków.</w:t>
      </w:r>
    </w:p>
    <w:p w14:paraId="1A00D1ED" w14:textId="77777777" w:rsidR="00D818B1" w:rsidRDefault="00000000">
      <w:pPr>
        <w:spacing w:after="160"/>
      </w:pPr>
      <w:r>
        <w:t>Przyciski: „Usuń zaznaczony proces”, „Nowy proces”.</w:t>
      </w:r>
    </w:p>
    <w:p w14:paraId="2C8227DF" w14:textId="77777777" w:rsidR="00D818B1" w:rsidRDefault="00000000">
      <w:pPr>
        <w:pStyle w:val="Nagwek3"/>
        <w:spacing w:before="220" w:after="100"/>
      </w:pPr>
      <w:r>
        <w:t>Okno „Proces” — pola podstawowe</w:t>
      </w:r>
    </w:p>
    <w:p w14:paraId="1840676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Identyfikator (np. PROC-01) — WYMAGANY</w:t>
      </w:r>
    </w:p>
    <w:p w14:paraId="79CAFE7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Nazwa procesu — WYMAGANA</w:t>
      </w:r>
    </w:p>
    <w:p w14:paraId="7B91936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Opis (np. proces zakupowy od koszyka do potwierdzenia)</w:t>
      </w:r>
    </w:p>
    <w:p w14:paraId="1AD053F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Status: Nie rozpoczęty / W toku / Zbadany</w:t>
      </w:r>
    </w:p>
    <w:p w14:paraId="4531450E" w14:textId="77777777" w:rsidR="00D818B1" w:rsidRDefault="00000000">
      <w:pPr>
        <w:pStyle w:val="Nagwek3"/>
        <w:spacing w:before="220" w:after="100"/>
      </w:pPr>
      <w:r>
        <w:t>Kroki procesu</w:t>
      </w:r>
    </w:p>
    <w:p w14:paraId="0E32F145" w14:textId="77777777" w:rsidR="00D818B1" w:rsidRDefault="00000000">
      <w:pPr>
        <w:spacing w:after="160"/>
      </w:pPr>
      <w:r>
        <w:t>Sekcja „Kroki procesu” pozwala ułożyć proces jako uporządkowaną sekwencję stron: wybierz stronę z listy (musi być wcześniej dodana w zakładce „Strony”), opcjonalnie podaj nazwę kroku (np. „wypełnienie formularza”), naciśnij „Dodaj krok”. Kroki pokazują się na liście w kolejności wykonania.</w:t>
      </w:r>
    </w:p>
    <w:p w14:paraId="535EACF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lastRenderedPageBreak/>
        <w:t>Dodaj krok</w:t>
      </w:r>
    </w:p>
    <w:p w14:paraId="721E9C2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Usuń zaznaczony krok</w:t>
      </w:r>
    </w:p>
    <w:p w14:paraId="1B5A74B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Przesuń krok w górę</w:t>
      </w:r>
    </w:p>
    <w:p w14:paraId="783D636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Przesuń krok w dół</w:t>
      </w:r>
    </w:p>
    <w:p w14:paraId="661A6F94" w14:textId="77777777" w:rsidR="00D818B1" w:rsidRDefault="00000000">
      <w:pPr>
        <w:spacing w:after="160"/>
      </w:pPr>
      <w:r>
        <w:rPr>
          <w:i/>
          <w:iCs/>
        </w:rPr>
        <w:t>Uwaga: Próba dodania kroku bez wcześniej zdefiniowanych stron w audycie pokazuje komunikat: „Najpierw dodaj strony do audytu, zanim zdefiniujesz kroki procesu.”</w:t>
      </w:r>
    </w:p>
    <w:p w14:paraId="1F377DF9" w14:textId="77777777" w:rsidR="00D818B1" w:rsidRDefault="00000000">
      <w:pPr>
        <w:pStyle w:val="Nagwek2"/>
        <w:spacing w:before="320" w:after="140"/>
      </w:pPr>
      <w:r>
        <w:t>7.4. Zakładka „Testy”</w:t>
      </w:r>
    </w:p>
    <w:p w14:paraId="2EE880F1" w14:textId="77777777" w:rsidR="00D818B1" w:rsidRDefault="00000000">
      <w:pPr>
        <w:spacing w:after="160"/>
      </w:pPr>
      <w:r>
        <w:t>Ta zakładka służy do wykonywania manualnych procedur testowych (metodyki wbudowanej w aplikację) na wybranym obiekcie badanym.</w:t>
      </w:r>
    </w:p>
    <w:p w14:paraId="28A75BF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Rodzaj obiektu — </w:t>
      </w:r>
      <w:r>
        <w:t>Strona / Komponent / Proces.</w:t>
      </w:r>
    </w:p>
    <w:p w14:paraId="377FF85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Obiekt badany — </w:t>
      </w:r>
      <w:r>
        <w:t>lista obiektów danego rodzaju z zakresu audytu (jeśli lista jest pusta, pojawia się komunikat proszący o dodanie obiektów w odpowiedniej zakładce).</w:t>
      </w:r>
    </w:p>
    <w:p w14:paraId="4366BA68" w14:textId="77777777" w:rsidR="00D818B1" w:rsidRDefault="00000000">
      <w:pPr>
        <w:spacing w:after="160"/>
      </w:pPr>
      <w:r>
        <w:t>Tabela procedur z kolumnami: Kod, Nazwa, Kategoria (Klawiatura / Czytnik ekranu / Struktura / Formularze / Treść dynamiczna / Wizualne / Media / Proces), Status.</w:t>
      </w:r>
    </w:p>
    <w:p w14:paraId="570A0657" w14:textId="77777777" w:rsidR="00D818B1" w:rsidRDefault="00000000">
      <w:pPr>
        <w:spacing w:after="160"/>
      </w:pPr>
      <w:r>
        <w:t>Siedem możliwych statusów procedury: Nie wykonano, W toku, Spełnione, Niespełnione, Nie dotyczy, Do weryfikacji, Weryfikacja wizualna.</w:t>
      </w:r>
    </w:p>
    <w:p w14:paraId="36A21A49" w14:textId="77777777" w:rsidR="00D818B1" w:rsidRDefault="00000000">
      <w:pPr>
        <w:spacing w:after="160"/>
      </w:pPr>
      <w:r>
        <w:t>Menu kontekstowe tabeli (prawy klawisz myszy, klawisz Menu albo Shift+F10) oferuje szybkie „Oznacz jako „Nie dotyczy”” bez otwierania pełnego okna wykonania testu — jeśli procedura ma już zapisany wynik, pozycja menu wyjaśnia to zamiast nadpisać wynik po cichu.</w:t>
      </w:r>
    </w:p>
    <w:p w14:paraId="03D744D4" w14:textId="77777777" w:rsidR="00D818B1" w:rsidRDefault="00000000">
      <w:pPr>
        <w:spacing w:after="160"/>
      </w:pPr>
      <w:r>
        <w:t>Przycisk „Wykonaj / edytuj wybraną procedurę” (albo Enter/dwuklik na wierszu) otwiera okno wykonania testu.</w:t>
      </w:r>
    </w:p>
    <w:p w14:paraId="7478387A" w14:textId="77777777" w:rsidR="00D818B1" w:rsidRDefault="00000000">
      <w:pPr>
        <w:pStyle w:val="Nagwek3"/>
        <w:spacing w:before="220" w:after="100"/>
      </w:pPr>
      <w:r>
        <w:t>Okno wykonania procedury testowej</w:t>
      </w:r>
    </w:p>
    <w:p w14:paraId="431B9AC1" w14:textId="77777777" w:rsidR="00D818B1" w:rsidRDefault="00000000">
      <w:pPr>
        <w:spacing w:after="160"/>
      </w:pPr>
      <w:r>
        <w:t>Tytuł okna zawiera kod i nazwę procedury oraz badany obiekt. Zawartość:</w:t>
      </w:r>
    </w:p>
    <w:p w14:paraId="150CB07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Instrukcja — pole tylko do odczytu z pełną instrukcją procedury.</w:t>
      </w:r>
    </w:p>
    <w:p w14:paraId="22DA6A3F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Obserwacje swobodne — przycisk „Dodaj obserwację” otwierający okno nowej obserwacji (patrz 7.5) bez zamykania okna testu; obserwacja zapisuje się do bazy natychmiast po jej własnym OK, niezależnie od tego, czy sam wynik procedury zostanie ostatecznie zapisany.</w:t>
      </w:r>
    </w:p>
    <w:p w14:paraId="302AC26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Pytania — lista pytań właściwych dla danej procedury, renderowana dynamicznie zależnie od typu odpowiedzi: pytania Tak/Nie/Nie dotyczy (lista rozwijana), pytania z własną listą opcji, albo pytania z odpowiedzią tekstową (pole wieloliniowe).</w:t>
      </w:r>
    </w:p>
    <w:p w14:paraId="73701F1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Status — siedem wartości jak w tabeli procedur.</w:t>
      </w:r>
    </w:p>
    <w:p w14:paraId="2F65880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Wykonujący — osoba z zespołu audytowego przypisanego do audytu (albo „— nie wybrano —”).</w:t>
      </w:r>
    </w:p>
    <w:p w14:paraId="651F4F53" w14:textId="77777777" w:rsidR="00D818B1" w:rsidRDefault="00000000">
      <w:pPr>
        <w:pStyle w:val="Nagwek2"/>
        <w:spacing w:before="320" w:after="140"/>
      </w:pPr>
      <w:r>
        <w:t>7.5. Zakładka „Obserwacje”</w:t>
      </w:r>
    </w:p>
    <w:p w14:paraId="7D330F7F" w14:textId="77777777" w:rsidR="00D818B1" w:rsidRDefault="00000000">
      <w:pPr>
        <w:spacing w:after="160"/>
      </w:pPr>
      <w:r>
        <w:t>Przegląd wszystkich swobodnych obserwacji zebranych w audycie — zarówno dodanych w trakcie wykonywania procedury testowej, jak i utworzonych bezpośrednio w tej zakładce.</w:t>
      </w:r>
    </w:p>
    <w:p w14:paraId="2AE66E01" w14:textId="77777777" w:rsidR="00D818B1" w:rsidRDefault="00000000">
      <w:pPr>
        <w:spacing w:after="160"/>
      </w:pPr>
      <w:r>
        <w:t>Tabela z kolumnami: Obiekt, Treść, Sugerowane kryterium, Data utworzenia, Powiązana z problemem.</w:t>
      </w:r>
    </w:p>
    <w:p w14:paraId="6516E15F" w14:textId="77777777" w:rsidR="00D818B1" w:rsidRDefault="00000000">
      <w:pPr>
        <w:spacing w:after="160"/>
      </w:pPr>
      <w:r>
        <w:t>Przyciski: „Usuń zaznaczoną obserwację”, „Nowa obserwacja”, „Promuj do problemu”.</w:t>
      </w:r>
    </w:p>
    <w:p w14:paraId="39D0DE84" w14:textId="77777777" w:rsidR="00D818B1" w:rsidRDefault="00000000">
      <w:pPr>
        <w:pStyle w:val="Nagwek3"/>
        <w:spacing w:before="220" w:after="100"/>
      </w:pPr>
      <w:r>
        <w:t>Okno „Obserwacja”</w:t>
      </w:r>
    </w:p>
    <w:p w14:paraId="1CF5421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Treść obserwacji — WYMAGANA.</w:t>
      </w:r>
    </w:p>
    <w:p w14:paraId="07F5924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Selektor elementu — jeśli dla strony obserwacji istnieją już selektory z wcześniejszego skanu Axe, pole zamienia się w listę tych selektorów + pozycję „Inny, jaki?”; bez takiego skanu pozostaje zwykłym polem tekstowym (opcjonalnie, np. „.read_more”).</w:t>
      </w:r>
    </w:p>
    <w:p w14:paraId="72F85A9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lastRenderedPageBreak/>
        <w:t>Przycisk „Zaproponuj selektor (AI)” + pole „Stan generowania selektora (AI)” — wyprowadza selektor CSS z fragmentu kodu HTML (jeśli podany) albo z samego opisu treści (z ostrzeżeniem, że to tylko przybliżenie bez fragmentu kodu).</w:t>
      </w:r>
    </w:p>
    <w:p w14:paraId="3CB76B2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Fragment kodu / HTML (opcjonalnie).</w:t>
      </w:r>
    </w:p>
    <w:p w14:paraId="6396A86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Sugerowane kryterium WCAG (opcjonalnie, np. 1.1.1 — można doprecyzować później).</w:t>
      </w:r>
    </w:p>
    <w:p w14:paraId="25C6A30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Przycisk „Zaproponuj kryterium (AI)” + pole „Wynik propozycji AI” — analizuje treść obserwacji (i ewentualny fragment kodu) i proponuje jedno najbardziej prawdopodobne kryterium WCAG 2.2 wraz z krótkim uzasadnieniem; ostrzega, jeśli zaproponowany kod nie występuje w słowniku aktywnych kryteriów WCAG 2.2.</w:t>
      </w:r>
    </w:p>
    <w:p w14:paraId="5069EF55" w14:textId="77777777" w:rsidR="00D818B1" w:rsidRDefault="00000000">
      <w:pPr>
        <w:pStyle w:val="Nagwek3"/>
        <w:spacing w:before="220" w:after="100"/>
      </w:pPr>
      <w:r>
        <w:t>Promocja obserwacji do problemu</w:t>
      </w:r>
    </w:p>
    <w:p w14:paraId="0B0F5FE8" w14:textId="77777777" w:rsidR="00D818B1" w:rsidRDefault="00000000">
      <w:pPr>
        <w:spacing w:after="160"/>
      </w:pPr>
      <w:r>
        <w:t>Przycisk „Promuj do problemu” otwiera okno nowego problemu (patrz 7.8) wstępnie wypełnione tytułem, opisem, dowodem typu „Obserwacja audytora” i (jeśli podane) sugerowanym kryterium WCAG. Jeśli obserwacja była już wcześniej promowana, pojawia się twarda blokada informacyjna wskazująca istniejący problem — jedna obserwacja może zostać promowana tylko raz.</w:t>
      </w:r>
    </w:p>
    <w:p w14:paraId="67DEFA75" w14:textId="77777777" w:rsidR="00D818B1" w:rsidRDefault="00000000">
      <w:pPr>
        <w:pStyle w:val="Nagwek2"/>
        <w:spacing w:before="320" w:after="140"/>
      </w:pPr>
      <w:r>
        <w:t>7.6. Zakładka „Wyniki Axe”</w:t>
      </w:r>
    </w:p>
    <w:p w14:paraId="703B36AA" w14:textId="77777777" w:rsidR="00D818B1" w:rsidRDefault="00000000">
      <w:pPr>
        <w:spacing w:after="160"/>
      </w:pPr>
      <w:r>
        <w:t>Uruchamianie automatycznego skanu dostępności silnikiem Axe/Playwright dla wybranej strony i przegląd zaimportowanych wyników. Skan wykonuje się w osobnym procesie w tle — interfejs pozostaje w pełni responsywny przez cały czas trwania skanu (zwykle kilka-kilkanaście sekund).</w:t>
      </w:r>
    </w:p>
    <w:p w14:paraId="2AAD01A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Strona do skanowania — </w:t>
      </w:r>
      <w:r>
        <w:t>lista stron dodanych w zakładce „Strony” (bez stron nie da się skanować — pojawia się stosowny komunikat).</w:t>
      </w:r>
    </w:p>
    <w:p w14:paraId="4A2470A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Skanuj stronę (axe) — </w:t>
      </w:r>
      <w:r>
        <w:t>uruchamia skan pod adresem URL zapisanym przy wybranej stronie.</w:t>
      </w:r>
    </w:p>
    <w:p w14:paraId="73029779" w14:textId="77777777" w:rsidR="00D818B1" w:rsidRDefault="00000000">
      <w:pPr>
        <w:spacing w:after="160"/>
      </w:pPr>
      <w:r>
        <w:t>Tabela wyników z kolumnami: Reguła, Waga (krytyczna / poważna / umiarkowana / drobna), Selektor, Status.</w:t>
      </w:r>
    </w:p>
    <w:p w14:paraId="4579F0DF" w14:textId="77777777" w:rsidR="00D818B1" w:rsidRDefault="00000000">
      <w:pPr>
        <w:spacing w:after="160"/>
      </w:pPr>
      <w:r>
        <w:t>Pięć statusów triage: Kandydat (nieprzejrzany), Potwierdzony, Odrzucony, Wymaga dodatkowego testu, Duplikat.</w:t>
      </w:r>
    </w:p>
    <w:p w14:paraId="721A74D9" w14:textId="77777777" w:rsidR="00D818B1" w:rsidRDefault="00000000">
      <w:pPr>
        <w:spacing w:after="160"/>
      </w:pPr>
      <w:r>
        <w:t>Przycisk „Promuj do problemu” tworzy nowy problem na bazie zaznaczonego wyniku — patrz niżej.</w:t>
      </w:r>
    </w:p>
    <w:p w14:paraId="7C01A0DD" w14:textId="77777777" w:rsidR="00D818B1" w:rsidRDefault="00000000">
      <w:pPr>
        <w:pStyle w:val="Nagwek3"/>
        <w:spacing w:before="220" w:after="100"/>
      </w:pPr>
      <w:r>
        <w:t>Możliwe komunikaty błędu skanu</w:t>
      </w:r>
    </w:p>
    <w:p w14:paraId="65853E3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Brak silnika: aplikacja nie znalazła instalacji Axe/Playwright (patrz rozdział 6 — Ustawienia silnika Axe).</w:t>
      </w:r>
    </w:p>
    <w:p w14:paraId="43AF93A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„Strona „&lt;nazwa&gt;” została usunięta w trakcie skanowania — wyniki skanu odrzucone.” — pojawia się, jeśli audytor usunie skanowaną stronę w zakładce „Strony”, zanim skan (trwający w tle) się zakończy; sam skan nie jest błędny, tylko traci gdzie zapisać wyniki.</w:t>
      </w:r>
    </w:p>
    <w:p w14:paraId="41C11E5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Ogólny komunikat błędu z treścią wyjątku, jeśli proces skanujący zakończy się niepowodzeniem (np. strona niedostępna sieciowo).</w:t>
      </w:r>
    </w:p>
    <w:p w14:paraId="28B5451F" w14:textId="77777777" w:rsidR="00D818B1" w:rsidRDefault="00000000">
      <w:pPr>
        <w:pStyle w:val="Nagwek3"/>
        <w:spacing w:before="220" w:after="100"/>
      </w:pPr>
      <w:r>
        <w:t>Ponowny skan tej samej strony</w:t>
      </w:r>
    </w:p>
    <w:p w14:paraId="4D29907A" w14:textId="77777777" w:rsidR="00D818B1" w:rsidRDefault="00000000">
      <w:pPr>
        <w:spacing w:after="160"/>
      </w:pPr>
      <w:r>
        <w:t>Ponowne skanowanie tej samej strony ZASTĘPUJE wszystkie poprzednie wyniki dla tej strony nowymi — to świadoma decyzja projektowa: jeśli potrzebna jest historia wcześniejszej triage sprzed reaudytu, warto ją odnotować ręcznie (np. w notatkach problemu) przed ponownym skanowaniem.</w:t>
      </w:r>
    </w:p>
    <w:p w14:paraId="4E986678" w14:textId="77777777" w:rsidR="00D818B1" w:rsidRDefault="00000000">
      <w:pPr>
        <w:pStyle w:val="Nagwek3"/>
        <w:spacing w:before="220" w:after="100"/>
      </w:pPr>
      <w:r>
        <w:t>Okno szczegółów wyniku Axe</w:t>
      </w:r>
    </w:p>
    <w:p w14:paraId="479FF4BE" w14:textId="77777777" w:rsidR="00D818B1" w:rsidRDefault="00000000">
      <w:pPr>
        <w:spacing w:after="160"/>
      </w:pPr>
      <w:r>
        <w:t>Pola tylko do odczytu (surowy wynik axe-core, nie modyfikowany ręcznie):</w:t>
      </w:r>
    </w:p>
    <w:p w14:paraId="5E7CED1F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Reguła axe</w:t>
      </w:r>
    </w:p>
    <w:p w14:paraId="79A19EC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Waga</w:t>
      </w:r>
    </w:p>
    <w:p w14:paraId="4854C39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Selektor elementu</w:t>
      </w:r>
    </w:p>
    <w:p w14:paraId="76E0FBA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Opis reguły</w:t>
      </w:r>
    </w:p>
    <w:p w14:paraId="3022460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Fragment HTML</w:t>
      </w:r>
    </w:p>
    <w:p w14:paraId="2DE53BCF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Tagi WCAG / kategorie axe</w:t>
      </w:r>
    </w:p>
    <w:p w14:paraId="4E342FB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lastRenderedPageBreak/>
        <w:t>Dokumentacja axe (odnośnik)</w:t>
      </w:r>
    </w:p>
    <w:p w14:paraId="43167BAF" w14:textId="77777777" w:rsidR="00D818B1" w:rsidRDefault="00000000">
      <w:pPr>
        <w:spacing w:after="160"/>
      </w:pPr>
      <w:r>
        <w:t>Jedyne pole edytowalne: „Status (decyzja audytora)” — te same pięć wartości triage co w tabeli.</w:t>
      </w:r>
    </w:p>
    <w:p w14:paraId="5093AF02" w14:textId="77777777" w:rsidR="00D818B1" w:rsidRDefault="00000000">
      <w:pPr>
        <w:pStyle w:val="Nagwek3"/>
        <w:spacing w:before="220" w:after="100"/>
      </w:pPr>
      <w:r>
        <w:t>Promocja wyniku Axe do problemu</w:t>
      </w:r>
    </w:p>
    <w:p w14:paraId="4CADAFAD" w14:textId="77777777" w:rsidR="00D818B1" w:rsidRDefault="00000000">
      <w:pPr>
        <w:spacing w:after="160"/>
      </w:pPr>
      <w:r>
        <w:t>Nowy problem tworzony z wyniku Axe jest wstępnie wypełniony: tytułem i opisem z reguły axe-core, dowodem typu „Wynik axe”, sugerowaną wagą (mapowanie critical→Krytyczna, serious→Wysoka, moderate→Średnia, minor→Niska — zawsze do zmiany), sugerowanym poziomem WCAG i dopasowanymi kryteriami WCAG (axe-core taguje reguły dokładnymi numerami kryteriów), oraz — jeśli axe-core dostarczył precyzyjny opis naprawy (failureSummary, po angielsku) — startową rekomendacją do przeredagowania.</w:t>
      </w:r>
    </w:p>
    <w:p w14:paraId="3E39526B" w14:textId="77777777" w:rsidR="00D818B1" w:rsidRDefault="00000000">
      <w:pPr>
        <w:spacing w:after="160"/>
      </w:pPr>
      <w:r>
        <w:rPr>
          <w:i/>
          <w:iCs/>
        </w:rPr>
        <w:t>Uwaga: W przeciwieństwie do obserwacji, jeden wynik Axe może zostać promowany więcej niż raz (np. gdy audytor chce podzielić go na osobne problemy) — aplikacja tylko ostrzega, jeśli wynik jest już powiązany z istniejącym problemem, i pyta o potwierdzenie.</w:t>
      </w:r>
    </w:p>
    <w:p w14:paraId="381BB328" w14:textId="77777777" w:rsidR="00D818B1" w:rsidRDefault="00000000">
      <w:pPr>
        <w:pStyle w:val="Nagwek2"/>
        <w:spacing w:before="320" w:after="140"/>
      </w:pPr>
      <w:r>
        <w:t>7.7. Zakładka „Problemy”</w:t>
      </w:r>
    </w:p>
    <w:p w14:paraId="19B4C8AB" w14:textId="77777777" w:rsidR="00D818B1" w:rsidRDefault="00000000">
      <w:pPr>
        <w:spacing w:after="160"/>
      </w:pPr>
      <w:r>
        <w:t>Lista wszystkich problemów audytu i punkt wejścia do pełnego okna edycji z pięcioma podzakładkami. Problemy tworzy się tu wprost („Nowy problem”) albo przez promocję z zakładek „Obserwacje” lub „Wyniki Axe”.</w:t>
      </w:r>
    </w:p>
    <w:p w14:paraId="4783185F" w14:textId="77777777" w:rsidR="00D818B1" w:rsidRDefault="00000000">
      <w:pPr>
        <w:spacing w:after="160"/>
      </w:pPr>
      <w:r>
        <w:t>Tabela z kolumnami: Identyfikator, Tytuł, Waga, Status.</w:t>
      </w:r>
    </w:p>
    <w:p w14:paraId="0B4ABC99" w14:textId="77777777" w:rsidR="00D818B1" w:rsidRDefault="00000000">
      <w:pPr>
        <w:spacing w:after="160"/>
      </w:pPr>
      <w:r>
        <w:t>Przyciski: „Usuń zaznaczony problem” (usuwa też jego lokalizacje, kryteria WCAG, dowody i rekomendacje), „Nowy problem”.</w:t>
      </w:r>
    </w:p>
    <w:p w14:paraId="4D31E304" w14:textId="77777777" w:rsidR="00D818B1" w:rsidRDefault="00000000">
      <w:pPr>
        <w:pStyle w:val="Nagwek3"/>
        <w:spacing w:before="220" w:after="100"/>
      </w:pPr>
      <w:r>
        <w:t>Podzakładka 1 — Problem</w:t>
      </w:r>
    </w:p>
    <w:p w14:paraId="0DDEFB74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Identyfikator (np. PROBLEM-001) — WYMAGANY, podpowiadany automatycznie.</w:t>
      </w:r>
    </w:p>
    <w:p w14:paraId="3E61534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Tytuł problemu — WYMAGANY.</w:t>
      </w:r>
    </w:p>
    <w:p w14:paraId="36C599B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Opis problemu.</w:t>
      </w:r>
    </w:p>
    <w:p w14:paraId="55A7257F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Poziom WCAG (A / AA / AAA / nieustalony).</w:t>
      </w:r>
    </w:p>
    <w:p w14:paraId="08566A6F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Waga (Krytyczna / Wysoka / Średnia / Niska / nieustalona).</w:t>
      </w:r>
    </w:p>
    <w:p w14:paraId="763DCA0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Opis lokalizacji (np. „przycisk w stopce każdej podstrony”).</w:t>
      </w:r>
    </w:p>
    <w:p w14:paraId="3B7BBCF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Kroki reprodukcji (opcjonalnie — przydatne zwłaszcza przy problemach zależnych od kolejności działań: dynamiczna treść, kolejność fokusu).</w:t>
      </w:r>
    </w:p>
    <w:p w14:paraId="150C3A1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Status: Kandydat (nieprzejrzany) / Potwierdzony / Odrzucony / Naprawiony.</w:t>
      </w:r>
    </w:p>
    <w:p w14:paraId="111DB50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Przycisk „Sprawdź duplikaty (AI)” + pole „Stan sprawdzania duplikatów (AI)” — najpierw lokalnie (bez AI) wyszukuje wśród pozostałych problemów audytu te, które mają choć jedno wspólne kryterium WCAG i lokalizację z bieżącym problemem; dopiero na tej wąskiej liście kandydatów pyta AI, czy któryś z nich opisuje dokładnie ten sam błąd. Wymaga uzupełnionego tytułu, kryteriów WCAG i lokalizacji przed użyciem.</w:t>
      </w:r>
    </w:p>
    <w:p w14:paraId="3BB6FFF3" w14:textId="77777777" w:rsidR="00D818B1" w:rsidRDefault="00000000">
      <w:pPr>
        <w:pStyle w:val="Nagwek3"/>
        <w:spacing w:before="220" w:after="100"/>
      </w:pPr>
      <w:r>
        <w:t>Podzakładka 2 — Lokalizacje</w:t>
      </w:r>
    </w:p>
    <w:p w14:paraId="7685D368" w14:textId="77777777" w:rsidR="00D818B1" w:rsidRDefault="00000000">
      <w:pPr>
        <w:spacing w:after="160"/>
      </w:pPr>
      <w:r>
        <w:t>Rodzaj obiektu (Strona/Komponent/Proces) + wybór konkretnego obiektu z listy + przycisk „Dodaj lokalizację”; lista dodanych lokalizacji; „Usuń zaznaczoną lokalizację”.</w:t>
      </w:r>
    </w:p>
    <w:p w14:paraId="070C3D96" w14:textId="77777777" w:rsidR="00D818B1" w:rsidRDefault="00000000">
      <w:pPr>
        <w:pStyle w:val="Nagwek3"/>
        <w:spacing w:before="220" w:after="100"/>
      </w:pPr>
      <w:r>
        <w:t>Podzakładka 3 — Kryteria WCAG</w:t>
      </w:r>
    </w:p>
    <w:p w14:paraId="7BA36041" w14:textId="77777777" w:rsidR="00D818B1" w:rsidRDefault="00000000">
      <w:pPr>
        <w:spacing w:after="160"/>
      </w:pPr>
      <w:r>
        <w:t>Lista rozwijana kryteriów WCAG (kod, nazwa, poziom) + przycisk „Dodaj kryterium”; lista dodanych kryteriów; „Usuń zaznaczone kryterium”.</w:t>
      </w:r>
    </w:p>
    <w:p w14:paraId="45B0A9BB" w14:textId="77777777" w:rsidR="00D818B1" w:rsidRDefault="00000000">
      <w:pPr>
        <w:pStyle w:val="Nagwek3"/>
        <w:spacing w:before="220" w:after="100"/>
      </w:pPr>
      <w:r>
        <w:t>Podzakładka 4 — Dowody</w:t>
      </w:r>
    </w:p>
    <w:p w14:paraId="256C3830" w14:textId="77777777" w:rsidR="00D818B1" w:rsidRDefault="00000000">
      <w:pPr>
        <w:spacing w:after="160"/>
      </w:pPr>
      <w:r>
        <w:t>Rodzaj dowodu: Fragment DOM / Wynik axe / Obserwacja audytora / Zrzut ekranu / Kod / Inne. Pole treści/opisu dowodu + przycisk „Dodaj dowód”.</w:t>
      </w:r>
    </w:p>
    <w:p w14:paraId="43B44754" w14:textId="77777777" w:rsidR="00D818B1" w:rsidRDefault="00000000">
      <w:pPr>
        <w:spacing w:after="160"/>
      </w:pPr>
      <w:r>
        <w:t xml:space="preserve">Lista dodanych dowodów (skrócona do ok. 80 znaków dla czytelności) + pole „Pełna treść zaznaczonego dowodu” (tylko do odczytu, aktualizuje się przy zmianie zaznaczenia) + przycisk „Kopiuj treść dowodu” </w:t>
      </w:r>
      <w:r>
        <w:lastRenderedPageBreak/>
        <w:t>(kopiuje pełną treść do schowka — dodany specjalnie, bo NVDA nie potrafi zaznaczyć i skopiować tekstu z pola tylko do odczytu) + „Usuń zaznaczony dowód”.</w:t>
      </w:r>
    </w:p>
    <w:p w14:paraId="76213CB3" w14:textId="77777777" w:rsidR="00D818B1" w:rsidRDefault="00000000">
      <w:pPr>
        <w:pStyle w:val="Nagwek3"/>
        <w:spacing w:before="220" w:after="100"/>
      </w:pPr>
      <w:r>
        <w:t>Podzakładka 5 — Rekomendacje</w:t>
      </w:r>
    </w:p>
    <w:p w14:paraId="7422A16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Treść rekomendacji.</w:t>
      </w:r>
    </w:p>
    <w:p w14:paraId="6F96C85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Przykładowa poprawka kodu (opcjonalnie).</w:t>
      </w:r>
    </w:p>
    <w:p w14:paraId="0691201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Metoda retestu (opcjonalnie, np. ponowny skan axe, ponowne wykonanie procedury testowej, ręczna weryfikacja wizualna lub z czytnikiem ekranu).</w:t>
      </w:r>
    </w:p>
    <w:p w14:paraId="0889659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Przycisk „Zaproponuj rekomendację (AI)” + pole „Stan generowania odpowiedzi AI” — na podstawie tytułu/opisu problemu, kroków reprodukcji, powiązanych kryteriów WCAG i zebranych dowodów proponuje treść rekomendacji po polsku oraz, jeśli zasadne, przykład poprawki kodu.</w:t>
      </w:r>
    </w:p>
    <w:p w14:paraId="1A0ABA5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Checkbox „Rekomendacja zatwierdzona”.</w:t>
      </w:r>
    </w:p>
    <w:p w14:paraId="289B010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Przycisk „Dodaj rekomendację” — dodaje wypełniony formularz do listy poniżej i czyści pola do wprowadzenia kolejnej.</w:t>
      </w:r>
    </w:p>
    <w:p w14:paraId="5D82710F" w14:textId="77777777" w:rsidR="00D818B1" w:rsidRDefault="00000000">
      <w:pPr>
        <w:spacing w:after="160"/>
      </w:pPr>
      <w:r>
        <w:t>Lista dodanych rekomendacji (skrócona) + pole „Pełna treść zaznaczonej rekomendacji” (tylko do odczytu) + przycisk „Kopiuj treść rekomendacji” + „Usuń zaznaczoną rekomendację”.</w:t>
      </w:r>
    </w:p>
    <w:p w14:paraId="7038234A" w14:textId="77777777" w:rsidR="00D818B1" w:rsidRDefault="00000000">
      <w:pPr>
        <w:spacing w:after="160"/>
      </w:pPr>
      <w:r>
        <w:rPr>
          <w:i/>
          <w:iCs/>
        </w:rPr>
        <w:t>Uwaga: Rekomendacja dodana bezpośrednio po użyciu przycisku AI jest oznaczana wewnętrznie jako pochodząca od AI (w odróżnieniu od rekomendacji wpisanej ręcznie) — czysto informacyjne rozróżnienie w danych audytu, niewidoczne bezpośrednio na liście.</w:t>
      </w:r>
    </w:p>
    <w:p w14:paraId="34AEBBBB" w14:textId="77777777" w:rsidR="00D818B1" w:rsidRDefault="00000000">
      <w:pPr>
        <w:pStyle w:val="Nagwek2"/>
        <w:spacing w:before="320" w:after="140"/>
      </w:pPr>
      <w:r>
        <w:t>7.8. Zakładka „Sprawdź dane do raportu”</w:t>
      </w:r>
    </w:p>
    <w:p w14:paraId="2E64B380" w14:textId="77777777" w:rsidR="00D818B1" w:rsidRDefault="00000000">
      <w:pPr>
        <w:spacing w:after="160"/>
      </w:pPr>
      <w:r>
        <w:t>Czysto informacyjna zakładka (dawniej nazwana „Kompletność”) — sprawdza audyt przed wygenerowaniem raportu, w pełni deterministycznie, bez użycia AI. Niczego nie blokuje: przeczytanie listy to jedyna forma „zatwierdzenia mimo braków”.</w:t>
      </w:r>
    </w:p>
    <w:p w14:paraId="684702AD" w14:textId="77777777" w:rsidR="00D818B1" w:rsidRDefault="00000000">
      <w:pPr>
        <w:pStyle w:val="Nagwek3"/>
        <w:spacing w:before="220" w:after="100"/>
      </w:pPr>
      <w:r>
        <w:t>Brakujące pola metadanych audytu</w:t>
      </w:r>
    </w:p>
    <w:p w14:paraId="073E8423" w14:textId="77777777" w:rsidR="00D818B1" w:rsidRDefault="00000000">
      <w:pPr>
        <w:spacing w:after="160"/>
      </w:pPr>
      <w:r>
        <w:t>Sprawdzane pola (jeśli wszystkie wypełnione, pokazuje się „— brak, wszystko wypełnione/wypromowane —”):</w:t>
      </w:r>
    </w:p>
    <w:p w14:paraId="045FEBAA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Klient</w:t>
      </w:r>
    </w:p>
    <w:p w14:paraId="6EE08E0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Badany serwis/produkt</w:t>
      </w:r>
    </w:p>
    <w:p w14:paraId="37B5A85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Adres główny</w:t>
      </w:r>
    </w:p>
    <w:p w14:paraId="4F08E18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Numer sprawy</w:t>
      </w:r>
    </w:p>
    <w:p w14:paraId="22C01D6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Data rozpoczęcia</w:t>
      </w:r>
    </w:p>
    <w:p w14:paraId="3F33F45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Data zakończenia</w:t>
      </w:r>
    </w:p>
    <w:p w14:paraId="4730BEB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Cel audytu</w:t>
      </w:r>
    </w:p>
    <w:p w14:paraId="34112C8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Podstawa prawna</w:t>
      </w:r>
    </w:p>
    <w:p w14:paraId="11E6EE4C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Zespół audytowy</w:t>
      </w:r>
    </w:p>
    <w:p w14:paraId="6350A19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Zakres obejmuje</w:t>
      </w:r>
    </w:p>
    <w:p w14:paraId="2754F33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Przeglądarka 1</w:t>
      </w:r>
    </w:p>
    <w:p w14:paraId="0103E73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t>Czytnik ekranu</w:t>
      </w:r>
    </w:p>
    <w:p w14:paraId="0DC90497" w14:textId="77777777" w:rsidR="00D818B1" w:rsidRDefault="00000000">
      <w:pPr>
        <w:pStyle w:val="Nagwek3"/>
        <w:spacing w:before="220" w:after="100"/>
      </w:pPr>
      <w:r>
        <w:t>Niewypromowane obserwacje</w:t>
      </w:r>
    </w:p>
    <w:p w14:paraId="73C1DAC3" w14:textId="77777777" w:rsidR="00D818B1" w:rsidRDefault="00000000">
      <w:pPr>
        <w:spacing w:after="160"/>
      </w:pPr>
      <w:r>
        <w:t>Lista obserwacji, które nie zostały jeszcze powiązane z żadnym problemem — a więc nie trafią do żadnego raportu.</w:t>
      </w:r>
    </w:p>
    <w:p w14:paraId="6EF2623C" w14:textId="77777777" w:rsidR="00D818B1" w:rsidRDefault="00000000">
      <w:pPr>
        <w:pStyle w:val="Nagwek3"/>
        <w:spacing w:before="220" w:after="100"/>
      </w:pPr>
      <w:r>
        <w:t>Niewypromowane potwierdzone wyniki Axe</w:t>
      </w:r>
    </w:p>
    <w:p w14:paraId="63AF95E6" w14:textId="77777777" w:rsidR="00D818B1" w:rsidRDefault="00000000">
      <w:pPr>
        <w:spacing w:after="160"/>
      </w:pPr>
      <w:r>
        <w:t>Lista wyników Axe ze statusem „Potwierdzony”, które nie zostały jeszcze powiązane z żadnym problemem.</w:t>
      </w:r>
    </w:p>
    <w:p w14:paraId="62168D5E" w14:textId="77777777" w:rsidR="00D818B1" w:rsidRDefault="00000000">
      <w:pPr>
        <w:pStyle w:val="Nagwek2"/>
        <w:spacing w:before="320" w:after="140"/>
      </w:pPr>
      <w:r>
        <w:t>7.9. Zakładka „Raporty”</w:t>
      </w:r>
    </w:p>
    <w:p w14:paraId="163A2FCF" w14:textId="77777777" w:rsidR="00D818B1" w:rsidRDefault="00000000">
      <w:pPr>
        <w:spacing w:after="160"/>
      </w:pPr>
      <w:r>
        <w:lastRenderedPageBreak/>
        <w:t>Generowanie końcowych raportów na podstawie wszystkich zebranych danych audytu.</w:t>
      </w:r>
    </w:p>
    <w:p w14:paraId="5148D7D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Typ raportu — </w:t>
      </w:r>
      <w:r>
        <w:t>Zarządczy (dla klienta) / Techniczny (dla developera).</w:t>
      </w:r>
    </w:p>
    <w:p w14:paraId="728C2891" w14:textId="77777777" w:rsidR="00D818B1" w:rsidRDefault="00000000">
      <w:pPr>
        <w:spacing w:after="160"/>
      </w:pPr>
      <w:r>
        <w:t>Opis raportu zarządczego: zwięzłe podsumowanie wyników audytu w języku przystępnym dla klienta, bez szczegółów technicznych (kodu, selektorów, surowych wyników skanu). Do raportu trafiają wyłącznie potwierdzone problemy.</w:t>
      </w:r>
    </w:p>
    <w:p w14:paraId="05FD32FF" w14:textId="77777777" w:rsidR="00D818B1" w:rsidRDefault="00000000">
      <w:pPr>
        <w:spacing w:after="160"/>
      </w:pPr>
      <w:r>
        <w:t>Opis raportu technicznego: pełne dane per problem (dowody, przykłady kodu, kroki reprodukcji), pokrycie testów, załącznik z pełnymi wynikami skanu Axe. Przeznaczony dla developera/zespołu wdrażającego poprawki. Do raportu trafiają wyłącznie potwierdzone problemy.</w:t>
      </w:r>
    </w:p>
    <w:p w14:paraId="5D9A1EE7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Format — </w:t>
      </w:r>
      <w:r>
        <w:t>HTML / Word (.docx).</w:t>
      </w:r>
    </w:p>
    <w:p w14:paraId="7CA05B9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Dodaj podsumowanie opisowe (AI) — </w:t>
      </w:r>
      <w:r>
        <w:t>checkbox aktywny wyłącznie dla raportu zarządczego (raport techniczny nie ma sekcji podsumowania, bo z definicji jest już pełny i szczegółowy).</w:t>
      </w:r>
    </w:p>
    <w:p w14:paraId="2EE650E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Generuj raport — </w:t>
      </w:r>
      <w:r>
        <w:t>otwiera systemowe okno zapisu pliku z podpowiadaną nazwą w formacie „&lt;Raport zarzadczy/techniczny&gt; - &lt;klient albo nazwa audytu&gt; - &lt;RRRR-MM-DD&gt;.&lt;html/docx&gt;”.</w:t>
      </w:r>
    </w:p>
    <w:p w14:paraId="54BA6570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Stan generowania raportu — </w:t>
      </w:r>
      <w:r>
        <w:t>pole tylko do odczytu — pokazuje postęp i wynik (sukces ze ścieżką pliku albo treść błędu).</w:t>
      </w:r>
    </w:p>
    <w:p w14:paraId="0DD26A62" w14:textId="77777777" w:rsidR="00D818B1" w:rsidRDefault="00000000">
      <w:pPr>
        <w:spacing w:after="160"/>
      </w:pPr>
      <w:r>
        <w:t>Tabela historii wygenerowanych raportów z kolumnami: Typ, Format, Data wygenerowania, Ścieżka pliku.</w:t>
      </w:r>
    </w:p>
    <w:p w14:paraId="5C47EC4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Usuń zaznaczony wpis z historii — </w:t>
      </w:r>
      <w:r>
        <w:t>usuwa TYLKO wpis w tabeli historii (w bazie danych) — sam plik raportu na dysku NIE jest usuwany.</w:t>
      </w:r>
    </w:p>
    <w:p w14:paraId="4E3FF586" w14:textId="77777777" w:rsidR="00D818B1" w:rsidRDefault="00000000">
      <w:pPr>
        <w:pStyle w:val="Nagwek3"/>
        <w:spacing w:before="220" w:after="100"/>
      </w:pPr>
      <w:r>
        <w:t>Podsumowanie AI raportu zarządczego</w:t>
      </w:r>
    </w:p>
    <w:p w14:paraId="06BAE316" w14:textId="77777777" w:rsidR="00D818B1" w:rsidRDefault="00000000">
      <w:pPr>
        <w:spacing w:after="160"/>
      </w:pPr>
      <w:r>
        <w:t>Jedyne miejsce w całej aplikacji, gdzie treść wygenerowana przez AI trafia bezpośrednio do finalnego dokumentu bez etapu ręcznej weryfikacji przed zapisem (w odróżnieniu od rekomendacji/kryteriów AI gdzie indziej, które audytor zawsze widzi i edytuje przed zapisaniem) — świadoma decyzja projektowa.</w:t>
      </w:r>
    </w:p>
    <w:p w14:paraId="4AA66875" w14:textId="77777777" w:rsidR="00D818B1" w:rsidRDefault="00000000">
      <w:pPr>
        <w:spacing w:after="160"/>
      </w:pPr>
      <w:r>
        <w:t>Wymaga skonfigurowanej AI (patrz rozdział 5) oraz co najmniej jednego potwierdzonego lub naprawionego problemu w audycie — w przeciwnym razie pojawia się komunikat proszący o odznaczenie opcji albo wygenerowanie raportu bez podsumowania.</w:t>
      </w:r>
    </w:p>
    <w:p w14:paraId="6D022372" w14:textId="77777777" w:rsidR="00D818B1" w:rsidRDefault="00000000">
      <w:pPr>
        <w:pStyle w:val="Nagwek1"/>
        <w:pageBreakBefore/>
        <w:spacing w:before="400" w:after="200"/>
      </w:pPr>
      <w:r>
        <w:lastRenderedPageBreak/>
        <w:t>8. Werdykt zgodności — metodologia</w:t>
      </w:r>
    </w:p>
    <w:p w14:paraId="0616CF8B" w14:textId="77777777" w:rsidR="00D818B1" w:rsidRDefault="00000000">
      <w:pPr>
        <w:spacing w:after="160"/>
      </w:pPr>
      <w:r>
        <w:t>Każdy z dwóch raportów (zarządczy i techniczny) zawiera osobną sekcję „Werdykt zgodności”, obliczaną wg następującej metodologii, zgodnej z oficjalnym, binarnym modelem zgodności WCAG (W3C nie przewiduje częściowej ani procentowej zgodności — kryterium jest spełnione albo nie).</w:t>
      </w:r>
    </w:p>
    <w:p w14:paraId="3424B62D" w14:textId="77777777" w:rsidR="00D818B1" w:rsidRDefault="00000000">
      <w:pPr>
        <w:pStyle w:val="Nagwek2"/>
        <w:spacing w:before="320" w:after="140"/>
      </w:pPr>
      <w:r>
        <w:t>8.1. Werdykt NIESPEŁNIONY — liczony automatycznie</w:t>
      </w:r>
    </w:p>
    <w:p w14:paraId="7F6DBC67" w14:textId="77777777" w:rsidR="00D818B1" w:rsidRDefault="00000000">
      <w:pPr>
        <w:spacing w:after="160"/>
      </w:pPr>
      <w:r>
        <w:t>Jeśli w audycie istnieje choć jeden POTWIERDZONY (nie: naprawiony, nie: odrzucony), nadal otwarty problem powiązany z kryterium WCAG na poziomie równym lub niższym od poziomu zadeklarowanego dla audytu (np. audyt na poziomie AA obejmuje kryteria A i AA, nie AAA) — werdykt jest automatycznie liczony jako NIESPEŁNIONY, a raport wypisuje pełną listę kryteriów, których to dotyczy.</w:t>
      </w:r>
    </w:p>
    <w:p w14:paraId="2FE1B660" w14:textId="77777777" w:rsidR="00D818B1" w:rsidRDefault="00000000">
      <w:pPr>
        <w:spacing w:after="160"/>
      </w:pPr>
      <w:r>
        <w:rPr>
          <w:i/>
          <w:iCs/>
        </w:rPr>
        <w:t>Uwaga: To jedyny kierunek, w którym aplikacja może wystawić werdykt automatycznie — istnienie jednego potwierdzonego, niespełnionego kryterium jest samo w sobie wystarczającym dowodem niezgodności, niezależnie od tego, ile innych kryteriów zostało sprawdzonych.</w:t>
      </w:r>
    </w:p>
    <w:p w14:paraId="011E5D91" w14:textId="77777777" w:rsidR="00D818B1" w:rsidRDefault="00000000">
      <w:pPr>
        <w:pStyle w:val="Nagwek2"/>
        <w:spacing w:before="320" w:after="140"/>
      </w:pPr>
      <w:r>
        <w:t>8.2. Werdykt SPEŁNIONY — wyłącznie decyzja audytora</w:t>
      </w:r>
    </w:p>
    <w:p w14:paraId="04F82B3E" w14:textId="77777777" w:rsidR="00D818B1" w:rsidRDefault="00000000">
      <w:pPr>
        <w:spacing w:after="160"/>
      </w:pPr>
      <w:r>
        <w:t>Werdykt SPEŁNIONY NIGDY nie jest wystawiany automatycznie, nawet jeśli audyt nie ma żadnych potwierdzonych problemów — brak zarejestrowanych problemów może równie dobrze oznaczać „nie przetestowano”, jak i „przetestowano i spełnia wymogi”, a aplikacja nie ma sposobu odróżnienia tych dwóch sytuacji automatycznie.</w:t>
      </w:r>
    </w:p>
    <w:p w14:paraId="3F9F9967" w14:textId="77777777" w:rsidR="00D818B1" w:rsidRDefault="00000000">
      <w:pPr>
        <w:spacing w:after="160"/>
      </w:pPr>
      <w:r>
        <w:t>Jedynym sposobem uzyskania werdyktu SPEŁNIONY w raporcie jest świadomy wybór audytora w polu „Uwagi do zgodności formalnej” (zakładka „Karta audytu i podstawa oceny” w oknie „Szczegóły audytu” — patrz rozdział 4.2), np. wybranie opcji „Werdykt formalny — EN 301 549” albo „Werdykt formalny — v3.2.1 / WCAG 2.1/2.2”. Treść tego pola trafia wprost do raportu jako uzasadnienie werdyktu.</w:t>
      </w:r>
    </w:p>
    <w:p w14:paraId="68CCEC60" w14:textId="77777777" w:rsidR="00D818B1" w:rsidRDefault="00000000">
      <w:pPr>
        <w:pStyle w:val="Nagwek2"/>
        <w:spacing w:before="320" w:after="140"/>
      </w:pPr>
      <w:r>
        <w:t>8.3. Mapowanie na EN 301 549</w:t>
      </w:r>
    </w:p>
    <w:p w14:paraId="1895054E" w14:textId="77777777" w:rsidR="00D818B1" w:rsidRDefault="00000000">
      <w:pPr>
        <w:spacing w:after="160"/>
      </w:pPr>
      <w:r>
        <w:t>Dla kryteriów poziomu A i AA raport automatycznie podaje odpowiadający numer klauzuli normy EN 301 549 (§9.&lt;numer kryterium&gt;) — mechaniczne, udokumentowane odwzorowanie normy względem numeracji WCAG 2.1. Wyjątki: kryteria poziomu AAA nie mają odpowiednika w normie (norma nie nakłada wymagań AAA jako obowiązkowych), a kryteria dodane dopiero w WCAG 2.2 również nie mają jeszcze odpowiednika, bo aktualna wersja normy EN 301 549 odwołuje się do WCAG 2.1 — raport jasno to zaznacza przy takich kryteriach.</w:t>
      </w:r>
    </w:p>
    <w:p w14:paraId="27F9406D" w14:textId="77777777" w:rsidR="00D818B1" w:rsidRDefault="00000000">
      <w:pPr>
        <w:pStyle w:val="Nagwek1"/>
        <w:pageBreakBefore/>
        <w:spacing w:before="400" w:after="200"/>
      </w:pPr>
      <w:r>
        <w:lastRenderedPageBreak/>
        <w:t>9. Rozwiązywanie problemów (FAQ)</w:t>
      </w:r>
    </w:p>
    <w:p w14:paraId="20296D31" w14:textId="77777777" w:rsidR="00D818B1" w:rsidRDefault="00000000">
      <w:pPr>
        <w:pStyle w:val="Nagwek3"/>
        <w:spacing w:before="220" w:after="100"/>
      </w:pPr>
      <w:r>
        <w:t>Instalator nie znalazł Node.js, chociaż go zainstalowałem/łam wcześniej</w:t>
      </w:r>
    </w:p>
    <w:p w14:paraId="704EB13D" w14:textId="77777777" w:rsidR="00D818B1" w:rsidRDefault="00000000">
      <w:pPr>
        <w:spacing w:after="160"/>
      </w:pPr>
      <w:r>
        <w:t>Sprawdź, czy polecenie „node --version” działa w zwykłym wierszu poleceń (cmd). Niektóre sposoby instalacji Node.js (np. przez nvm-windows) nie rejestrują się w standardowej ścieżce systemowej PATH ani w kluczu rejestru, który sprawdza instalator. W takim wypadku uruchom ręcznie „npm install” i „npx playwright install chromium” w folderze &lt;folder instalacji&gt;\axe-engine.</w:t>
      </w:r>
    </w:p>
    <w:p w14:paraId="15F25318" w14:textId="77777777" w:rsidR="00D818B1" w:rsidRDefault="00000000">
      <w:pPr>
        <w:pStyle w:val="Nagwek3"/>
        <w:spacing w:before="220" w:after="100"/>
      </w:pPr>
      <w:r>
        <w:t>Zakładka „Wyniki Axe” mówi, że nie znaleziono silnika</w:t>
      </w:r>
    </w:p>
    <w:p w14:paraId="0C6A82C8" w14:textId="77777777" w:rsidR="00D818B1" w:rsidRDefault="00000000">
      <w:pPr>
        <w:spacing w:after="160"/>
      </w:pPr>
      <w:r>
        <w:t>Sprawdź w oknie „Ustawienia silnika Axe” (rozdział 6), czy pole „Wynik sprawdzenia” znajduje działający silnik. Jeśli instalacja przebiegła bez Node.js, wykonaj ręczną instalację zależności (patrz rozdział 2.2), a następnie sprawdź ścieżkę ponownie.</w:t>
      </w:r>
    </w:p>
    <w:p w14:paraId="6D27FBEF" w14:textId="77777777" w:rsidR="00D818B1" w:rsidRDefault="00000000">
      <w:pPr>
        <w:pStyle w:val="Nagwek3"/>
        <w:spacing w:before="220" w:after="100"/>
      </w:pPr>
      <w:r>
        <w:t>Przyciski z dopiskiem „(AI)” nie działają / pokazują „AI niedostępne”</w:t>
      </w:r>
    </w:p>
    <w:p w14:paraId="31F8F264" w14:textId="77777777" w:rsidR="00D818B1" w:rsidRDefault="00000000">
      <w:pPr>
        <w:spacing w:after="160"/>
      </w:pPr>
      <w:r>
        <w:t>Ten komunikat pojawia się, gdy aplikacja w ogóle nie ma dostępu do pliku konfiguracji AI (rzadki, techniczny przypadek). Znacznie częstszy komunikat to „Brak konfiguracji AI” — oznacza, że w oknie „Ustawienia AI” (rozdział 5) nie skonfigurowano jeszcze dostawcy, modelu i klucza API. Skonfiguruj je i spróbuj ponownie.</w:t>
      </w:r>
    </w:p>
    <w:p w14:paraId="3677B5D4" w14:textId="77777777" w:rsidR="00D818B1" w:rsidRDefault="00000000">
      <w:pPr>
        <w:pStyle w:val="Nagwek3"/>
        <w:spacing w:before="220" w:after="100"/>
      </w:pPr>
      <w:r>
        <w:t>„Sprawdź połączenie” w Ustawieniach AI zwraca błąd</w:t>
      </w:r>
    </w:p>
    <w:p w14:paraId="29875524" w14:textId="77777777" w:rsidR="00D818B1" w:rsidRDefault="00000000">
      <w:pPr>
        <w:spacing w:after="160"/>
      </w:pPr>
      <w:r>
        <w:t>Najczęstsze przyczyny: niepoprawny albo wygasły klucz API, niepoprawna dokładna nazwa modelu (np. literówka), brak środków na koncie u dostawcy, albo (dla dostawcy „Inny”) niepoprawny adres URL punktu końcowego. Treść błędu w polu „Wynik sprawdzenia połączenia” zwykle wskazuje dokładną przyczynę zwróconą przez dostawcę.</w:t>
      </w:r>
    </w:p>
    <w:p w14:paraId="47DA18B9" w14:textId="77777777" w:rsidR="00D818B1" w:rsidRDefault="00000000">
      <w:pPr>
        <w:pStyle w:val="Nagwek3"/>
        <w:spacing w:before="220" w:after="100"/>
      </w:pPr>
      <w:r>
        <w:t>Po ponownym skanie Axe zniknęła wcześniejsza triage wyników</w:t>
      </w:r>
    </w:p>
    <w:p w14:paraId="14F35876" w14:textId="77777777" w:rsidR="00D818B1" w:rsidRDefault="00000000">
      <w:pPr>
        <w:spacing w:after="160"/>
      </w:pPr>
      <w:r>
        <w:t>To zamierzone działanie — ponowny skan tej samej strony ZASTĘPUJE wszystkie poprzednie wyniki dla tej strony. Jeśli triage sprzed reaudytu jest ważna, odnotuj ją ręcznie (np. w opisie problemu) przed uruchomieniem kolejnego skanu.</w:t>
      </w:r>
    </w:p>
    <w:p w14:paraId="569565E1" w14:textId="77777777" w:rsidR="00D818B1" w:rsidRDefault="00000000">
      <w:pPr>
        <w:pStyle w:val="Nagwek3"/>
        <w:spacing w:before="220" w:after="100"/>
      </w:pPr>
      <w:r>
        <w:t>Komunikat: strona została usunięta w trakcie skanowania</w:t>
      </w:r>
    </w:p>
    <w:p w14:paraId="3C725FBA" w14:textId="77777777" w:rsidR="00D818B1" w:rsidRDefault="00000000">
      <w:pPr>
        <w:spacing w:after="160"/>
      </w:pPr>
      <w:r>
        <w:t>Skan trwa kilka-kilkanaście sekund w tle, a interfejs pozostaje w pełni aktywny — jeśli w tym czasie usuniesz skanowaną stronę w zakładce „Strony”, wyniki skanu nie mają już gdzie się zapisać i zostają odrzucone. To nieszkodliwy, oczekiwany komunikat — wystarczy uruchomić skan ponownie dla tej samej (lub innej) strony.</w:t>
      </w:r>
    </w:p>
    <w:p w14:paraId="0ACF2722" w14:textId="77777777" w:rsidR="00D818B1" w:rsidRDefault="00000000">
      <w:pPr>
        <w:pStyle w:val="Nagwek3"/>
        <w:spacing w:before="220" w:after="100"/>
      </w:pPr>
      <w:r>
        <w:t>Chcę przenieść dane audytów na inny komputer</w:t>
      </w:r>
    </w:p>
    <w:p w14:paraId="481CFE8B" w14:textId="77777777" w:rsidR="00D818B1" w:rsidRDefault="00000000">
      <w:pPr>
        <w:spacing w:after="160"/>
      </w:pPr>
      <w:r>
        <w:t>Skopiuj cały folder instalacji programu (a przynajmniej plik audyt_wizard.db) na nowy komputer. Klucz API do AI NIE zostanie przeniesiony (jest zapisany w Menedżerze poświadczeń Windows powiązanym z kontem użytkownika na starym komputerze) — trzeba go wpisać ponownie w Ustawieniach AI na nowym komputerze. Podobnie ręcznie ustawiona ścieżka do silnika Axe może wymagać ponownej konfiguracji, jeśli różni się układ folderów.</w:t>
      </w:r>
    </w:p>
    <w:p w14:paraId="1B5E075F" w14:textId="77777777" w:rsidR="00D818B1" w:rsidRDefault="00000000">
      <w:pPr>
        <w:pStyle w:val="Nagwek1"/>
        <w:pageBreakBefore/>
        <w:spacing w:before="400" w:after="200"/>
      </w:pPr>
      <w:r>
        <w:lastRenderedPageBreak/>
        <w:t>10. Słowniczek pojęć</w:t>
      </w:r>
    </w:p>
    <w:p w14:paraId="014D7812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WCAG (Web Content Accessibility Guidelines) — </w:t>
      </w:r>
      <w:r>
        <w:t>zbiór międzynarodowych wytycznych dostępności treści cyfrowych publikowanych przez konsorcjum W3C; aktualna wersja używana operacyjnie w aplikacji to WCAG 2.2, z poziomami zgodności A, AA i AAA.</w:t>
      </w:r>
    </w:p>
    <w:p w14:paraId="1403F2A1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Kryterium sukcesu (WCAG) — </w:t>
      </w:r>
      <w:r>
        <w:t>pojedynczy, konkretny wymóg WCAG (np. 1.1.1 — Treść nietekstowa), oznaczony numerem złożonym z trzech liczb (zasada.wytyczna.kryterium) i poziomem A/AA/AAA.</w:t>
      </w:r>
    </w:p>
    <w:p w14:paraId="767FC4C8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EN 301 549 — </w:t>
      </w:r>
      <w:r>
        <w:t>europejska norma dostępności produktów i usług ICT, w części dotyczącej stron internetowych odwołująca się do WCAG (obecnie do WCAG 2.1) — patrz rozdział 8.3.</w:t>
      </w:r>
    </w:p>
    <w:p w14:paraId="1EAD1E2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axe-core — </w:t>
      </w:r>
      <w:r>
        <w:t>biblioteka open source firmy Deque do automatycznego wykrywania błędów dostępności na stronach WWW — silnik używany przez zakładkę „Wyniki Axe”.</w:t>
      </w:r>
    </w:p>
    <w:p w14:paraId="7269EF1E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Playwright — </w:t>
      </w:r>
      <w:r>
        <w:t>narzędzie do automatyzacji przeglądarki (otwierania stron, klikania, odczytu DOM), używane razem z axe-core do wykonania automatycznego skanu strony.</w:t>
      </w:r>
    </w:p>
    <w:p w14:paraId="650739E6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NVDA (NonVisual Desktop Access) — </w:t>
      </w:r>
      <w:r>
        <w:t>darmowy czytnik ekranu dla Windows, względem którego przetestowano dostępność samej aplikacji Audyt Wizard.</w:t>
      </w:r>
    </w:p>
    <w:p w14:paraId="61450AE3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Selektor CSS — </w:t>
      </w:r>
      <w:r>
        <w:t>wyrażenie wskazujące konkretny element strony (np. „.przycisk-glowny” albo „nav a:nth-child(2)”) — używany do precyzyjnego opisania lokalizacji błędu.</w:t>
      </w:r>
    </w:p>
    <w:p w14:paraId="30BF9A9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Obserwacja — </w:t>
      </w:r>
      <w:r>
        <w:t>swobodna notatka audytora zebrana w trakcie badania, pierwsze ogniwo łańcucha: obserwacja → problem → dowód → rekomendacja.</w:t>
      </w:r>
    </w:p>
    <w:p w14:paraId="419AF49D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Problem (issue) — </w:t>
      </w:r>
      <w:r>
        <w:t>sformalizowany, potwierdzony błąd dostępności ze wszystkimi powiązanymi danymi: lokalizacjami, kryteriami WCAG, dowodami i rekomendacjami naprawy — jednostka trafiająca do końcowego raportu.</w:t>
      </w:r>
    </w:p>
    <w:p w14:paraId="70A70FBC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Promocja — </w:t>
      </w:r>
      <w:r>
        <w:t>przekształcenie obserwacji albo wyniku automatycznego skanu Axe w pełnoprawny problem, z zachowaniem powiązania ze źródłem.</w:t>
      </w:r>
    </w:p>
    <w:p w14:paraId="5413A44B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Dowód (evidence) — </w:t>
      </w:r>
      <w:r>
        <w:t>udokumentowany ślad błędu dołączony do problemu — fragment kodu/DOM, wynik axe, obserwacja audytora, zrzut ekranu albo inny rodzaj materiału.</w:t>
      </w:r>
    </w:p>
    <w:p w14:paraId="1092BAF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Rekomendacja — </w:t>
      </w:r>
      <w:r>
        <w:t>opisana propozycja naprawy błędu, opcjonalnie z przykładem poprawki kodu i sugerowaną metodą retestu.</w:t>
      </w:r>
    </w:p>
    <w:p w14:paraId="681BA13F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Werdykt zgodności — </w:t>
      </w:r>
      <w:r>
        <w:t>sekcja raportu podsumowująca, czy audytowany serwis spełnia zadeklarowany poziom WCAG — patrz pełny opis metodologii w rozdziale 8.</w:t>
      </w:r>
    </w:p>
    <w:p w14:paraId="0705CFF9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Triage — </w:t>
      </w:r>
      <w:r>
        <w:t>proces klasyfikacji surowego wyniku (np. z automatycznego skanu Axe) jako: kandydat, potwierdzony, odrzucony, duplikat albo wymagający dodatkowego testu ręcznego.</w:t>
      </w:r>
    </w:p>
    <w:p w14:paraId="05082E05" w14:textId="77777777" w:rsidR="00D818B1" w:rsidRDefault="00000000">
      <w:pPr>
        <w:pStyle w:val="Akapitzlist"/>
        <w:numPr>
          <w:ilvl w:val="0"/>
          <w:numId w:val="1"/>
        </w:numPr>
        <w:spacing w:after="80"/>
      </w:pPr>
      <w:r>
        <w:rPr>
          <w:b/>
          <w:bCs/>
        </w:rPr>
        <w:t xml:space="preserve">Reaudyt — </w:t>
      </w:r>
      <w:r>
        <w:t>powtórny audyt tego samego serwisu, zwykle po wdrożeniu poprawek z poprzedniego audytu, sprawdzający czy zgłoszone problemy zostały faktycznie usunięte.</w:t>
      </w:r>
    </w:p>
    <w:sectPr w:rsidR="00D818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854E0"/>
    <w:multiLevelType w:val="hybridMultilevel"/>
    <w:tmpl w:val="B4B4E8FA"/>
    <w:lvl w:ilvl="0" w:tplc="6E4A7624">
      <w:start w:val="1"/>
      <w:numFmt w:val="bullet"/>
      <w:lvlText w:val="●"/>
      <w:lvlJc w:val="left"/>
      <w:pPr>
        <w:ind w:left="720" w:hanging="360"/>
      </w:pPr>
    </w:lvl>
    <w:lvl w:ilvl="1" w:tplc="BC4EA83A">
      <w:start w:val="1"/>
      <w:numFmt w:val="bullet"/>
      <w:lvlText w:val="○"/>
      <w:lvlJc w:val="left"/>
      <w:pPr>
        <w:ind w:left="1440" w:hanging="360"/>
      </w:pPr>
    </w:lvl>
    <w:lvl w:ilvl="2" w:tplc="4282F0E2">
      <w:start w:val="1"/>
      <w:numFmt w:val="bullet"/>
      <w:lvlText w:val="■"/>
      <w:lvlJc w:val="left"/>
      <w:pPr>
        <w:ind w:left="2160" w:hanging="360"/>
      </w:pPr>
    </w:lvl>
    <w:lvl w:ilvl="3" w:tplc="B5D2D0DC">
      <w:start w:val="1"/>
      <w:numFmt w:val="bullet"/>
      <w:lvlText w:val="●"/>
      <w:lvlJc w:val="left"/>
      <w:pPr>
        <w:ind w:left="2880" w:hanging="360"/>
      </w:pPr>
    </w:lvl>
    <w:lvl w:ilvl="4" w:tplc="3C3E869C">
      <w:start w:val="1"/>
      <w:numFmt w:val="bullet"/>
      <w:lvlText w:val="○"/>
      <w:lvlJc w:val="left"/>
      <w:pPr>
        <w:ind w:left="3600" w:hanging="360"/>
      </w:pPr>
    </w:lvl>
    <w:lvl w:ilvl="5" w:tplc="A4E6AA3A">
      <w:start w:val="1"/>
      <w:numFmt w:val="bullet"/>
      <w:lvlText w:val="■"/>
      <w:lvlJc w:val="left"/>
      <w:pPr>
        <w:ind w:left="4320" w:hanging="360"/>
      </w:pPr>
    </w:lvl>
    <w:lvl w:ilvl="6" w:tplc="1B68C894">
      <w:start w:val="1"/>
      <w:numFmt w:val="bullet"/>
      <w:lvlText w:val="●"/>
      <w:lvlJc w:val="left"/>
      <w:pPr>
        <w:ind w:left="5040" w:hanging="360"/>
      </w:pPr>
    </w:lvl>
    <w:lvl w:ilvl="7" w:tplc="8EC47D82">
      <w:start w:val="1"/>
      <w:numFmt w:val="bullet"/>
      <w:lvlText w:val="●"/>
      <w:lvlJc w:val="left"/>
      <w:pPr>
        <w:ind w:left="5760" w:hanging="360"/>
      </w:pPr>
    </w:lvl>
    <w:lvl w:ilvl="8" w:tplc="6DB8C6C2">
      <w:start w:val="1"/>
      <w:numFmt w:val="bullet"/>
      <w:lvlText w:val="●"/>
      <w:lvlJc w:val="left"/>
      <w:pPr>
        <w:ind w:left="6480" w:hanging="360"/>
      </w:pPr>
    </w:lvl>
  </w:abstractNum>
  <w:num w:numId="1" w16cid:durableId="2117004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8B1"/>
    <w:rsid w:val="000D65E6"/>
    <w:rsid w:val="00C60DC4"/>
    <w:rsid w:val="00D818B1"/>
    <w:rsid w:val="00EE0DDF"/>
    <w:rsid w:val="00F0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BE23"/>
  <w15:docId w15:val="{286CA22E-922C-46AA-8159-359DFD59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5819</Words>
  <Characters>34915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Audyt Wizard — Podręcznik użytkownika (wersja robocza)</vt:lpstr>
    </vt:vector>
  </TitlesOfParts>
  <Company/>
  <LinksUpToDate>false</LinksUpToDate>
  <CharactersWithSpaces>40653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Audyt Wizard — Podręcznik użytkownika (wersja robocza)</dc:title>
  <dc:creator>Audyt Wizard</dc:creator>
  <cp:lastModifiedBy>Leszek Głowacki</cp:lastModifiedBy>
  <cp:revision>4</cp:revision>
  <dcterms:created xsi:type="dcterms:W3CDTF">2026-09-12T16:06:00Z</dcterms:created>
  <dcterms:modified xsi:type="dcterms:W3CDTF">2026-09-12T16:39:00Z</dcterms:modified>
</cp:coreProperties>
</file>